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Título en español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Título en inglés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Nombres completos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Afiliación institucional </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Ciudad, Región, País de la afiliación institucional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correo electrónico</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198755" cy="198755"/>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8755" cy="198755"/>
                    </a:xfrm>
                    <a:prstGeom prst="rect"/>
                    <a:ln/>
                  </pic:spPr>
                </pic:pic>
              </a:graphicData>
            </a:graphic>
          </wp:inline>
        </w:drawing>
      </w:r>
      <w:r w:rsidDel="00000000" w:rsidR="00000000" w:rsidRPr="00000000">
        <w:rPr>
          <w:rFonts w:ascii="Times New Roman" w:cs="Times New Roman" w:eastAsia="Times New Roman" w:hAnsi="Times New Roman"/>
          <w:color w:val="000000"/>
          <w:sz w:val="24"/>
          <w:szCs w:val="24"/>
          <w:u w:val="none"/>
          <w:rtl w:val="0"/>
        </w:rPr>
        <w:t xml:space="preserve">link del </w:t>
      </w:r>
      <w:r w:rsidDel="00000000" w:rsidR="00000000" w:rsidRPr="00000000">
        <w:rPr>
          <w:rFonts w:ascii="Times New Roman" w:cs="Times New Roman" w:eastAsia="Times New Roman" w:hAnsi="Times New Roman"/>
          <w:sz w:val="24"/>
          <w:szCs w:val="24"/>
          <w:rtl w:val="0"/>
        </w:rPr>
        <w:t xml:space="preserve">ORCID</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Resumen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highlight w:val="green"/>
        </w:rPr>
      </w:pPr>
      <w:r w:rsidDel="00000000" w:rsidR="00000000" w:rsidRPr="00000000">
        <w:rPr>
          <w:rFonts w:ascii="Times New Roman" w:cs="Times New Roman" w:eastAsia="Times New Roman" w:hAnsi="Times New Roman"/>
          <w:sz w:val="24"/>
          <w:szCs w:val="24"/>
          <w:shd w:fill="fff2cc" w:val="clear"/>
          <w:rtl w:val="0"/>
        </w:rPr>
        <w:t xml:space="preserve">Máximo 150 palabras.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highlight w:val="green"/>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Palabras clave</w:t>
      </w:r>
    </w:p>
    <w:p w:rsidR="00000000" w:rsidDel="00000000" w:rsidP="00000000" w:rsidRDefault="00000000" w:rsidRPr="00000000" w14:paraId="00000011">
      <w:pPr>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color w:val="242424"/>
          <w:sz w:val="24"/>
          <w:szCs w:val="24"/>
          <w:rtl w:val="0"/>
        </w:rPr>
        <w:t xml:space="preserve">palabra clave; palabra clave; palabra clave; palabra clave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Abstract</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ff2cc" w:val="clear"/>
          <w:rtl w:val="0"/>
        </w:rPr>
        <w:t xml:space="preserve">Máximo 150 palabras.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Keywords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Keywords; Keywords; Keywords; Keywords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-28571</wp:posOffset>
                </wp:positionH>
                <wp:positionV relativeFrom="paragraph">
                  <wp:posOffset>161925</wp:posOffset>
                </wp:positionV>
                <wp:extent cx="5788350" cy="486521"/>
                <wp:effectExtent b="0" l="0" r="0" t="0"/>
                <wp:wrapSquare wrapText="bothSides" distB="114300" distT="114300" distL="114300" distR="114300"/>
                <wp:docPr id="1" name=""/>
                <a:graphic>
                  <a:graphicData uri="http://schemas.microsoft.com/office/word/2010/wordprocessingShape">
                    <wps:wsp>
                      <wps:cNvSpPr/>
                      <wps:cNvPr id="2" name="Shape 2"/>
                      <wps:spPr>
                        <a:xfrm>
                          <a:off x="3146850" y="3605850"/>
                          <a:ext cx="4398300" cy="348300"/>
                        </a:xfrm>
                        <a:prstGeom prst="rect">
                          <a:avLst/>
                        </a:prstGeom>
                        <a:noFill/>
                        <a:ln cap="flat" cmpd="sng" w="19050">
                          <a:solidFill>
                            <a:srgbClr val="3C78D8"/>
                          </a:solidFill>
                          <a:prstDash val="solid"/>
                          <a:round/>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434343"/>
                                <w:sz w:val="18"/>
                                <w:vertAlign w:val="baseline"/>
                              </w:rPr>
                              <w:t xml:space="preserve">Recibido: </w:t>
                            </w:r>
                            <w:r w:rsidDel="00000000" w:rsidR="00000000" w:rsidRPr="00000000">
                              <w:rPr>
                                <w:rFonts w:ascii="Times New Roman" w:cs="Times New Roman" w:eastAsia="Times New Roman" w:hAnsi="Times New Roman"/>
                                <w:b w:val="1"/>
                                <w:i w:val="0"/>
                                <w:smallCaps w:val="0"/>
                                <w:strike w:val="0"/>
                                <w:color w:val="434343"/>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434343"/>
                                <w:sz w:val="18"/>
                                <w:vertAlign w:val="baseline"/>
                              </w:rPr>
                              <w:t xml:space="preserve"> de julio  / Revisado: </w:t>
                            </w:r>
                            <w:r w:rsidDel="00000000" w:rsidR="00000000" w:rsidRPr="00000000">
                              <w:rPr>
                                <w:rFonts w:ascii="Times New Roman" w:cs="Times New Roman" w:eastAsia="Times New Roman" w:hAnsi="Times New Roman"/>
                                <w:b w:val="1"/>
                                <w:i w:val="0"/>
                                <w:smallCaps w:val="0"/>
                                <w:strike w:val="0"/>
                                <w:color w:val="434343"/>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434343"/>
                                <w:sz w:val="18"/>
                                <w:vertAlign w:val="baseline"/>
                              </w:rPr>
                              <w:t xml:space="preserve"> de agosto  / Aceptado: </w:t>
                            </w:r>
                            <w:r w:rsidDel="00000000" w:rsidR="00000000" w:rsidRPr="00000000">
                              <w:rPr>
                                <w:rFonts w:ascii="Times New Roman" w:cs="Times New Roman" w:eastAsia="Times New Roman" w:hAnsi="Times New Roman"/>
                                <w:b w:val="1"/>
                                <w:i w:val="0"/>
                                <w:smallCaps w:val="0"/>
                                <w:strike w:val="0"/>
                                <w:color w:val="434343"/>
                                <w:sz w:val="18"/>
                                <w:vertAlign w:val="baseline"/>
                              </w:rPr>
                              <w:t xml:space="preserve">X </w:t>
                            </w:r>
                            <w:r w:rsidDel="00000000" w:rsidR="00000000" w:rsidRPr="00000000">
                              <w:rPr>
                                <w:rFonts w:ascii="Times New Roman" w:cs="Times New Roman" w:eastAsia="Times New Roman" w:hAnsi="Times New Roman"/>
                                <w:b w:val="1"/>
                                <w:i w:val="0"/>
                                <w:smallCaps w:val="0"/>
                                <w:strike w:val="0"/>
                                <w:color w:val="434343"/>
                                <w:sz w:val="18"/>
                                <w:vertAlign w:val="baseline"/>
                              </w:rPr>
                              <w:t xml:space="preserve">de septiembre</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-28571</wp:posOffset>
                </wp:positionH>
                <wp:positionV relativeFrom="paragraph">
                  <wp:posOffset>161925</wp:posOffset>
                </wp:positionV>
                <wp:extent cx="5788350" cy="486521"/>
                <wp:effectExtent b="0" l="0" r="0" t="0"/>
                <wp:wrapSquare wrapText="bothSides" distB="114300" distT="114300" distL="114300" distR="114300"/>
                <wp:docPr id="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788350" cy="486521"/>
                        </a:xfrm>
                        <a:prstGeom prst="rect"/>
                        <a:ln/>
                      </pic:spPr>
                    </pic:pic>
                  </a:graphicData>
                </a:graphic>
              </wp:anchor>
            </w:drawing>
          </mc:Fallback>
        </mc:AlternateConten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sz w:val="24"/>
          <w:szCs w:val="24"/>
        </w:rPr>
      </w:pPr>
      <w:commentRangeStart w:id="0"/>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commentRangeEnd w:id="0"/>
      <w:r w:rsidDel="00000000" w:rsidR="00000000" w:rsidRPr="00000000">
        <w:commentReference w:id="0"/>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Introducción</w:t>
      </w:r>
    </w:p>
    <w:p w:rsidR="00000000" w:rsidDel="00000000" w:rsidP="00000000" w:rsidRDefault="00000000" w:rsidRPr="00000000" w14:paraId="0000001D">
      <w:pPr>
        <w:spacing w:line="276" w:lineRule="auto"/>
        <w:ind w:left="20" w:right="40" w:firstLine="0"/>
        <w:jc w:val="both"/>
        <w:rPr>
          <w:rFonts w:ascii="Times New Roman" w:cs="Times New Roman" w:eastAsia="Times New Roman" w:hAnsi="Times New Roman"/>
          <w:sz w:val="24"/>
          <w:szCs w:val="24"/>
        </w:rPr>
      </w:pPr>
      <w:commentRangeStart w:id="1"/>
      <w:r w:rsidDel="00000000" w:rsidR="00000000" w:rsidRPr="00000000">
        <w:rPr>
          <w:rFonts w:ascii="Times New Roman" w:cs="Times New Roman" w:eastAsia="Times New Roman" w:hAnsi="Times New Roman"/>
          <w:sz w:val="24"/>
          <w:szCs w:val="24"/>
          <w:rtl w:val="0"/>
        </w:rPr>
        <w:t xml:space="preserve">Cuando</w:t>
      </w:r>
      <w:r w:rsidDel="00000000" w:rsidR="00000000" w:rsidRPr="00000000">
        <w:rPr>
          <w:rFonts w:ascii="Times New Roman" w:cs="Times New Roman" w:eastAsia="Times New Roman" w:hAnsi="Times New Roman"/>
          <w:sz w:val="24"/>
          <w:szCs w:val="24"/>
          <w:rtl w:val="0"/>
        </w:rPr>
        <w:t xml:space="preserve"> ana</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lizamos profundamente los videojuegos desde la perspectiva de la música, el arte, la peruanidad y los instrumentos tradicionales —y exploramos cómo construyen relatos, significados culturales y vínculos afectivos a través del sonido en relación a la experiencia del juego— descubrimos que estas prácticas nos permiten acceder a formas valiosas de conocimiento. Hablar del charango en un videojuego puede parecer, a simple vista, un cruce insólito. Pero si se observa con más cuidado, es justamente en ese encuentro donde se abre una puerta fértil para pensar de manera distinta las relaciones entre arte, tecnología, identidad y conocimiento.</w:t>
      </w:r>
    </w:p>
    <w:p w:rsidR="00000000" w:rsidDel="00000000" w:rsidP="00000000" w:rsidRDefault="00000000" w:rsidRPr="00000000" w14:paraId="0000001E">
      <w:pPr>
        <w:ind w:left="20" w:right="4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Perú</w:t>
      </w:r>
      <w:r w:rsidDel="00000000" w:rsidR="00000000" w:rsidRPr="00000000">
        <w:rPr>
          <w:rFonts w:ascii="Times New Roman" w:cs="Times New Roman" w:eastAsia="Times New Roman" w:hAnsi="Times New Roman"/>
          <w:sz w:val="24"/>
          <w:szCs w:val="24"/>
          <w:rtl w:val="0"/>
        </w:rPr>
        <w:t xml:space="preserve">, los videojuegos han tenido una historia fragmentada, marcada por el acceso desigual, la precariedad tecnológica y una creatividad que, pese a las dificultades, ha encontrado formas de expresarse desde lo local. Desde los </w:t>
      </w:r>
      <w:r w:rsidDel="00000000" w:rsidR="00000000" w:rsidRPr="00000000">
        <w:rPr>
          <w:rFonts w:ascii="Times New Roman" w:cs="Times New Roman" w:eastAsia="Times New Roman" w:hAnsi="Times New Roman"/>
          <w:i w:val="1"/>
          <w:iCs w:val="1"/>
          <w:sz w:val="24"/>
          <w:szCs w:val="24"/>
          <w:rtl w:val="0"/>
        </w:rPr>
        <w:t xml:space="preserve">hacks</w:t>
      </w:r>
      <w:r w:rsidDel="00000000" w:rsidR="00000000" w:rsidRPr="00000000">
        <w:rPr>
          <w:rFonts w:ascii="Times New Roman" w:cs="Times New Roman" w:eastAsia="Times New Roman" w:hAnsi="Times New Roman"/>
          <w:sz w:val="24"/>
          <w:szCs w:val="24"/>
          <w:rtl w:val="0"/>
        </w:rPr>
        <w:t xml:space="preserve"> de fútbol en la era del Super Nintendo, hasta los </w:t>
      </w:r>
      <w:r w:rsidDel="00000000" w:rsidR="00000000" w:rsidRPr="00000000">
        <w:rPr>
          <w:rFonts w:ascii="Times New Roman" w:cs="Times New Roman" w:eastAsia="Times New Roman" w:hAnsi="Times New Roman"/>
          <w:i w:val="1"/>
          <w:iCs w:val="1"/>
          <w:sz w:val="24"/>
          <w:szCs w:val="24"/>
          <w:rtl w:val="0"/>
        </w:rPr>
        <w:t xml:space="preserve">flash games</w:t>
      </w:r>
      <w:r w:rsidDel="00000000" w:rsidR="00000000" w:rsidRPr="00000000">
        <w:rPr>
          <w:rFonts w:ascii="Times New Roman" w:cs="Times New Roman" w:eastAsia="Times New Roman" w:hAnsi="Times New Roman"/>
          <w:sz w:val="24"/>
          <w:szCs w:val="24"/>
          <w:rtl w:val="0"/>
        </w:rPr>
        <w:t xml:space="preserve"> con contenido político y social, y más recientemente, producciones independientes con aspiraciones relacionadas a la conservación del patrimonio, los videojuegos han servido como plataforma de expresión, crítica y representación simbólica. Títulos como </w:t>
      </w:r>
      <w:r w:rsidDel="00000000" w:rsidR="00000000" w:rsidRPr="00000000">
        <w:rPr>
          <w:rFonts w:ascii="Times New Roman" w:cs="Times New Roman" w:eastAsia="Times New Roman" w:hAnsi="Times New Roman"/>
          <w:i w:val="1"/>
          <w:iCs w:val="1"/>
          <w:sz w:val="24"/>
          <w:szCs w:val="24"/>
          <w:rtl w:val="0"/>
        </w:rPr>
        <w:t xml:space="preserve">Imp of the Sun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Arrog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Purunmachu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Ai Apaec </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i w:val="1"/>
          <w:iCs w:val="1"/>
          <w:sz w:val="24"/>
          <w:szCs w:val="24"/>
          <w:rtl w:val="0"/>
        </w:rPr>
        <w:t xml:space="preserve">Tunche</w:t>
      </w:r>
      <w:r w:rsidDel="00000000" w:rsidR="00000000" w:rsidRPr="00000000">
        <w:rPr>
          <w:rFonts w:ascii="Times New Roman" w:cs="Times New Roman" w:eastAsia="Times New Roman" w:hAnsi="Times New Roman"/>
          <w:sz w:val="24"/>
          <w:szCs w:val="24"/>
          <w:rtl w:val="0"/>
        </w:rPr>
        <w:t xml:space="preserve"> exploran de manera explícita elementos del patrimonio local. En ellos, los sonidos tradicionales, las narrativas regionales y los imaginarios culturales no se presentan como simples citas, sino como parte activa de una construcción estética y narrativa que interpela al jugador. Entre estos títulos, </w:t>
      </w:r>
      <w:r w:rsidDel="00000000" w:rsidR="00000000" w:rsidRPr="00000000">
        <w:rPr>
          <w:rFonts w:ascii="Times New Roman" w:cs="Times New Roman" w:eastAsia="Times New Roman" w:hAnsi="Times New Roman"/>
          <w:i w:val="1"/>
          <w:iCs w:val="1"/>
          <w:sz w:val="24"/>
          <w:szCs w:val="24"/>
          <w:rtl w:val="0"/>
        </w:rPr>
        <w:t xml:space="preserve">Tunche </w:t>
      </w:r>
      <w:r w:rsidDel="00000000" w:rsidR="00000000" w:rsidRPr="00000000">
        <w:rPr>
          <w:rFonts w:ascii="Times New Roman" w:cs="Times New Roman" w:eastAsia="Times New Roman" w:hAnsi="Times New Roman"/>
          <w:sz w:val="24"/>
          <w:szCs w:val="24"/>
          <w:rtl w:val="0"/>
        </w:rPr>
        <w:t xml:space="preserve">destaca por proponer del charango algo más que un sonido reconocible: lo convierte en una herramienta, un arma, un emblema que forma parte de un personaje jugable. El instrumento está presente en la estética, en la acción y en la narrativa, y considero que su presencia merece una mirada atenta.</w:t>
      </w:r>
    </w:p>
    <w:p w:rsidR="00000000" w:rsidDel="00000000" w:rsidP="00000000" w:rsidRDefault="00000000" w:rsidRPr="00000000" w14:paraId="0000001F">
      <w:pPr>
        <w:spacing w:line="276" w:lineRule="auto"/>
        <w:ind w:left="20" w:right="4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trabajo nace de una inquietud concreta: entender cómo aparece representado un instrumento profundamente enraizado en las culturas musicales del Perú dentro de una obra interactiva contemporánea. Busco comprender de qué manera el charango —objeto sonoro, símbolo afectivo, instrumento vivo— se integra en algunas de las producciones peruanas más destacadas de los últimos años, y busco trazar un recorrido sobre el papel de este instrumento en los videojuegos peruanos, entendiéndolo no como simple adorno, sino como portador de sentido.</w:t>
      </w:r>
    </w:p>
    <w:p w:rsidR="00000000" w:rsidDel="00000000" w:rsidP="00000000" w:rsidRDefault="00000000" w:rsidRPr="00000000" w14:paraId="00000020">
      <w:pPr>
        <w:spacing w:line="276" w:lineRule="auto"/>
        <w:ind w:left="20" w:right="4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pregunta que guía esta investigación es: ¿cómo se representa el charango en los videojuegos peruanos actuales, y qué tipo de conocimiento se activa cuando lo analizamos desde la propia experiencia del juego? Este trabajo considera la música para videojuegos no como un objeto de estudio distante, sino como una práctica viva, donde se escucha, se juega y se aprende a través de la interacción directa. Busco no solamente detectar timbres o patrones musicales, sino sobre todo entender qué rol cumplen los sonidos, y cómo se integran al entorno narrativo. </w:t>
      </w:r>
    </w:p>
    <w:p w:rsidR="00000000" w:rsidDel="00000000" w:rsidP="00000000" w:rsidRDefault="00000000" w:rsidRPr="00000000" w14:paraId="00000021">
      <w:pPr>
        <w:spacing w:line="276" w:lineRule="auto"/>
        <w:ind w:left="20" w:right="4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abordar este fenómeno, propongo una metodología fundamentada en el análisis activo y participativo, que contempla el estudio sistematizado durante el acto de jugar como fuente válida de producción de conocimiento. Se trata de una perspectiva que considera al videojuego no como un objeto cerrado, sino como un proceso: se juega, se escucha, se registra, se vuelve a jugar, se toma nota, se reflexiona. Desde esa práctica, emergen datos que no podrían obtenerse desde fuera. La interacción directa revela cuándo y cómo aparecen los sonidos, qué efectos producen, qué patrones siguen, qué emociones desencadenan, y qué tipo de memorias o referencias culturales evocan. Pienso que no basta con analizar partituras o </w:t>
      </w:r>
      <w:r w:rsidDel="00000000" w:rsidR="00000000" w:rsidRPr="00000000">
        <w:rPr>
          <w:rFonts w:ascii="Times New Roman" w:cs="Times New Roman" w:eastAsia="Times New Roman" w:hAnsi="Times New Roman"/>
          <w:i w:val="1"/>
          <w:iCs w:val="1"/>
          <w:sz w:val="24"/>
          <w:szCs w:val="24"/>
          <w:rtl w:val="0"/>
        </w:rPr>
        <w:t xml:space="preserve">soundtracks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aislados: es necesario involucrarse en el juego, moverse dentro de él, y observar lo que el sonido hace en tiempo real.</w:t>
      </w:r>
    </w:p>
    <w:p w:rsidR="00000000" w:rsidDel="00000000" w:rsidP="00000000" w:rsidRDefault="00000000" w:rsidRPr="00000000" w14:paraId="00000022">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Figura 1</w:t>
      </w:r>
    </w:p>
    <w:p w:rsidR="00000000" w:rsidDel="00000000" w:rsidP="00000000" w:rsidRDefault="00000000" w:rsidRPr="00000000" w14:paraId="00000023">
      <w:pPr>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Tchaikovsky: </w:t>
      </w:r>
      <w:r w:rsidDel="00000000" w:rsidR="00000000" w:rsidRPr="00000000">
        <w:rPr>
          <w:rFonts w:ascii="Times New Roman" w:cs="Times New Roman" w:eastAsia="Times New Roman" w:hAnsi="Times New Roman"/>
          <w:rtl w:val="0"/>
        </w:rPr>
        <w:t xml:space="preserve">Obertura – fantasía Romeo y Julieta. </w:t>
      </w:r>
      <w:r w:rsidDel="00000000" w:rsidR="00000000" w:rsidRPr="00000000">
        <w:rPr>
          <w:rFonts w:ascii="Times New Roman" w:cs="Times New Roman" w:eastAsia="Times New Roman" w:hAnsi="Times New Roman"/>
          <w:i w:val="1"/>
          <w:iCs w:val="1"/>
          <w:rtl w:val="0"/>
        </w:rPr>
        <w:t xml:space="preserve">Transición hacia la sección secundaria de la exposición</w:t>
      </w:r>
    </w:p>
    <w:p w:rsidR="00000000" w:rsidDel="00000000" w:rsidP="00000000" w:rsidRDefault="00000000" w:rsidRPr="00000000" w14:paraId="0000002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Pr>
        <w:drawing>
          <wp:inline distB="0" distT="0" distL="0" distR="0">
            <wp:extent cx="5005388" cy="2418143"/>
            <wp:effectExtent b="0" l="0" r="0" t="0"/>
            <wp:docPr id="2" name="image3.png"/>
            <a:graphic>
              <a:graphicData uri="http://schemas.openxmlformats.org/drawingml/2006/picture">
                <pic:pic>
                  <pic:nvPicPr>
                    <pic:cNvPr id="0" name="image3.png"/>
                    <pic:cNvPicPr preferRelativeResize="0"/>
                  </pic:nvPicPr>
                  <pic:blipFill>
                    <a:blip r:embed="rId10"/>
                    <a:srcRect b="26471" l="28608" r="19963" t="29412"/>
                    <a:stretch>
                      <a:fillRect/>
                    </a:stretch>
                  </pic:blipFill>
                  <pic:spPr>
                    <a:xfrm>
                      <a:off x="0" y="0"/>
                      <a:ext cx="5005388" cy="2418143"/>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line="259"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iCs w:val="1"/>
          <w:sz w:val="16"/>
          <w:szCs w:val="16"/>
          <w:rtl w:val="0"/>
        </w:rPr>
        <w:t xml:space="preserve">Nota. </w:t>
      </w:r>
      <w:r w:rsidDel="00000000" w:rsidR="00000000" w:rsidRPr="00000000">
        <w:rPr>
          <w:rFonts w:ascii="Times New Roman" w:cs="Times New Roman" w:eastAsia="Times New Roman" w:hAnsi="Times New Roman"/>
          <w:sz w:val="16"/>
          <w:szCs w:val="16"/>
          <w:rtl w:val="0"/>
        </w:rPr>
        <w:t xml:space="preserve">Dominio público. Tomado de IMSLP. ED. BOTE &amp; G. ВосK, ВERLIN. Romeo et Juliette, Ouverture-Fantaisie d’après Shakespeare composée pour P. </w:t>
      </w:r>
      <w:r w:rsidDel="00000000" w:rsidR="00000000" w:rsidRPr="00000000">
        <w:rPr>
          <w:rFonts w:ascii="Times New Roman" w:cs="Times New Roman" w:eastAsia="Times New Roman" w:hAnsi="Times New Roman"/>
          <w:sz w:val="16"/>
          <w:szCs w:val="16"/>
          <w:rtl w:val="0"/>
        </w:rPr>
        <w:t xml:space="preserve">Tschaikovsky</w:t>
      </w:r>
      <w:r w:rsidDel="00000000" w:rsidR="00000000" w:rsidRPr="00000000">
        <w:rPr>
          <w:rFonts w:ascii="Times New Roman" w:cs="Times New Roman" w:eastAsia="Times New Roman" w:hAnsi="Times New Roman"/>
          <w:sz w:val="16"/>
          <w:szCs w:val="16"/>
          <w:rtl w:val="0"/>
        </w:rPr>
        <w:t xml:space="preserve">. Edition pour le Piano à 2 mains arrangée par C.Bial. Editeurs de Musique de S. M.l'Empereur et Roi, de </w:t>
      </w:r>
      <w:r w:rsidDel="00000000" w:rsidR="00000000" w:rsidRPr="00000000">
        <w:rPr>
          <w:rFonts w:ascii="Times New Roman" w:cs="Times New Roman" w:eastAsia="Times New Roman" w:hAnsi="Times New Roman"/>
          <w:sz w:val="16"/>
          <w:szCs w:val="16"/>
          <w:rtl w:val="0"/>
        </w:rPr>
        <w:t xml:space="preserve">S.M. l'Impératrice</w:t>
      </w:r>
      <w:r w:rsidDel="00000000" w:rsidR="00000000" w:rsidRPr="00000000">
        <w:rPr>
          <w:rFonts w:ascii="Times New Roman" w:cs="Times New Roman" w:eastAsia="Times New Roman" w:hAnsi="Times New Roman"/>
          <w:sz w:val="16"/>
          <w:szCs w:val="16"/>
          <w:rtl w:val="0"/>
        </w:rPr>
        <w:t xml:space="preserve"> Friedrich et de S.A.R. </w:t>
      </w:r>
      <w:r w:rsidDel="00000000" w:rsidR="00000000" w:rsidRPr="00000000">
        <w:rPr>
          <w:rFonts w:ascii="Times New Roman" w:cs="Times New Roman" w:eastAsia="Times New Roman" w:hAnsi="Times New Roman"/>
          <w:sz w:val="16"/>
          <w:szCs w:val="16"/>
          <w:rtl w:val="0"/>
        </w:rPr>
        <w:t xml:space="preserve">le Prince</w:t>
      </w:r>
      <w:r w:rsidDel="00000000" w:rsidR="00000000" w:rsidRPr="00000000">
        <w:rPr>
          <w:rFonts w:ascii="Times New Roman" w:cs="Times New Roman" w:eastAsia="Times New Roman" w:hAnsi="Times New Roman"/>
          <w:sz w:val="16"/>
          <w:szCs w:val="16"/>
          <w:rtl w:val="0"/>
        </w:rPr>
        <w:t xml:space="preserve"> Albrecht de Prusse. Inst Lith.de G.G Röder,Leipzig.</w:t>
      </w:r>
    </w:p>
    <w:p w:rsidR="00000000" w:rsidDel="00000000" w:rsidP="00000000" w:rsidRDefault="00000000" w:rsidRPr="00000000" w14:paraId="00000026">
      <w:pPr>
        <w:spacing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https://s9.imslp.org/files/imglnks/usimg/e/e6/IMSLP57480-PMLP03603-Tchaikovsky-Bial_Romeo_and_Juliet_Overture-Fantasie.pdf</w:t>
      </w: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rtl w:val="0"/>
        </w:rPr>
        <w:t xml:space="preserve">Tabla 1</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i w:val="1"/>
          <w:iCs w:val="1"/>
          <w:rtl w:val="0"/>
        </w:rPr>
        <w:t xml:space="preserve">Informantes clave seleccionados según criterios de responsabilidad institucional en la gestión curricular de la UNM</w:t>
      </w:r>
    </w:p>
    <w:p w:rsidR="00000000" w:rsidDel="00000000" w:rsidP="00000000" w:rsidRDefault="00000000" w:rsidRPr="00000000" w14:paraId="00000029">
      <w:pPr>
        <w:rPr>
          <w:rFonts w:ascii="Times New Roman" w:cs="Times New Roman" w:eastAsia="Times New Roman" w:hAnsi="Times New Roman"/>
          <w:i w:val="1"/>
          <w:iCs w:val="1"/>
        </w:rPr>
      </w:pPr>
      <w:r w:rsidDel="00000000" w:rsidR="00000000" w:rsidRPr="00000000">
        <w:rPr>
          <w:rtl w:val="0"/>
        </w:rPr>
      </w:r>
    </w:p>
    <w:tbl>
      <w:tblPr>
        <w:tblStyle w:val="Table1"/>
        <w:tblW w:w="7326.0" w:type="dxa"/>
        <w:jc w:val="left"/>
        <w:tblBorders>
          <w:top w:color="7f7f7f" w:space="0" w:sz="4" w:val="single"/>
          <w:bottom w:color="7f7f7f" w:space="0" w:sz="4" w:val="single"/>
        </w:tblBorders>
        <w:tblLayout w:type="fixed"/>
        <w:tblLook w:val="04A0"/>
      </w:tblPr>
      <w:tblGrid>
        <w:gridCol w:w="1328"/>
        <w:gridCol w:w="3656"/>
        <w:gridCol w:w="2342"/>
        <w:tblGridChange w:id="0">
          <w:tblGrid>
            <w:gridCol w:w="1328"/>
            <w:gridCol w:w="3656"/>
            <w:gridCol w:w="2342"/>
          </w:tblGrid>
        </w:tblGridChange>
      </w:tblGrid>
      <w:tr>
        <w:trPr>
          <w:cantSplit w:val="0"/>
          <w:tblHeader w:val="0"/>
        </w:trPr>
        <w:tc>
          <w:tcPr/>
          <w:p w:rsidR="00000000" w:rsidDel="00000000" w:rsidP="00000000" w:rsidRDefault="00000000" w:rsidRPr="00000000" w14:paraId="0000002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rtl w:val="0"/>
              </w:rPr>
              <w:t xml:space="preserve">Entrevistado</w:t>
            </w:r>
            <w:r w:rsidDel="00000000" w:rsidR="00000000" w:rsidRPr="00000000">
              <w:rPr>
                <w:rtl w:val="0"/>
              </w:rPr>
            </w:r>
          </w:p>
        </w:tc>
        <w:tc>
          <w:tcPr/>
          <w:p w:rsidR="00000000" w:rsidDel="00000000" w:rsidP="00000000" w:rsidRDefault="00000000" w:rsidRPr="00000000" w14:paraId="0000002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rtl w:val="0"/>
              </w:rPr>
              <w:t xml:space="preserve">Criterio de selección</w:t>
            </w:r>
            <w:r w:rsidDel="00000000" w:rsidR="00000000" w:rsidRPr="00000000">
              <w:rPr>
                <w:rtl w:val="0"/>
              </w:rPr>
            </w:r>
          </w:p>
        </w:tc>
        <w:tc>
          <w:tcPr/>
          <w:p w:rsidR="00000000" w:rsidDel="00000000" w:rsidP="00000000" w:rsidRDefault="00000000" w:rsidRPr="00000000" w14:paraId="0000002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rtl w:val="0"/>
              </w:rPr>
              <w:t xml:space="preserve">Modalidad de entrevista</w:t>
            </w:r>
            <w:r w:rsidDel="00000000" w:rsidR="00000000" w:rsidRPr="00000000">
              <w:rPr>
                <w:rtl w:val="0"/>
              </w:rPr>
            </w:r>
          </w:p>
        </w:tc>
      </w:tr>
      <w:tr>
        <w:trPr>
          <w:cantSplit w:val="0"/>
          <w:tblHeader w:val="0"/>
        </w:trPr>
        <w:tc>
          <w:tcPr/>
          <w:p w:rsidR="00000000" w:rsidDel="00000000" w:rsidP="00000000" w:rsidRDefault="00000000" w:rsidRPr="00000000" w14:paraId="0000002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rtl w:val="0"/>
              </w:rPr>
              <w:t xml:space="preserve">Directivo 1</w:t>
            </w:r>
            <w:r w:rsidDel="00000000" w:rsidR="00000000" w:rsidRPr="00000000">
              <w:rPr>
                <w:rtl w:val="0"/>
              </w:rPr>
            </w:r>
          </w:p>
        </w:tc>
        <w:tc>
          <w:tcPr/>
          <w:p w:rsidR="00000000" w:rsidDel="00000000" w:rsidP="00000000" w:rsidRDefault="00000000" w:rsidRPr="00000000" w14:paraId="0000002E">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Responsabilidad curricular estratégica</w:t>
            </w:r>
          </w:p>
        </w:tc>
        <w:tc>
          <w:tcPr/>
          <w:p w:rsidR="00000000" w:rsidDel="00000000" w:rsidP="00000000" w:rsidRDefault="00000000" w:rsidRPr="00000000" w14:paraId="0000002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(Zoom)</w:t>
            </w:r>
          </w:p>
        </w:tc>
      </w:tr>
      <w:tr>
        <w:trPr>
          <w:cantSplit w:val="0"/>
          <w:tblHeader w:val="0"/>
        </w:trPr>
        <w:tc>
          <w:tcPr/>
          <w:p w:rsidR="00000000" w:rsidDel="00000000" w:rsidP="00000000" w:rsidRDefault="00000000" w:rsidRPr="00000000" w14:paraId="0000003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rtl w:val="0"/>
              </w:rPr>
              <w:t xml:space="preserve">Directivo 2</w:t>
            </w:r>
            <w:r w:rsidDel="00000000" w:rsidR="00000000" w:rsidRPr="00000000">
              <w:rPr>
                <w:rtl w:val="0"/>
              </w:rPr>
            </w:r>
          </w:p>
        </w:tc>
        <w:tc>
          <w:tcPr/>
          <w:p w:rsidR="00000000" w:rsidDel="00000000" w:rsidP="00000000" w:rsidRDefault="00000000" w:rsidRPr="00000000" w14:paraId="0000003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Enlace técnico-normativo del currículo</w:t>
            </w:r>
          </w:p>
        </w:tc>
        <w:tc>
          <w:tcPr/>
          <w:p w:rsidR="00000000" w:rsidDel="00000000" w:rsidP="00000000" w:rsidRDefault="00000000" w:rsidRPr="00000000" w14:paraId="0000003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Presencial</w:t>
            </w:r>
          </w:p>
        </w:tc>
      </w:tr>
      <w:tr>
        <w:trPr>
          <w:cantSplit w:val="0"/>
          <w:tblHeader w:val="0"/>
        </w:trPr>
        <w:tc>
          <w:tcPr/>
          <w:p w:rsidR="00000000" w:rsidDel="00000000" w:rsidP="00000000" w:rsidRDefault="00000000" w:rsidRPr="00000000" w14:paraId="0000003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rtl w:val="0"/>
              </w:rPr>
              <w:t xml:space="preserve">Directivo 3</w:t>
            </w:r>
            <w:r w:rsidDel="00000000" w:rsidR="00000000" w:rsidRPr="00000000">
              <w:rPr>
                <w:rtl w:val="0"/>
              </w:rPr>
            </w:r>
          </w:p>
        </w:tc>
        <w:tc>
          <w:tcPr/>
          <w:p w:rsidR="00000000" w:rsidDel="00000000" w:rsidP="00000000" w:rsidRDefault="00000000" w:rsidRPr="00000000" w14:paraId="0000003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Coordinación operativa de asignaturas.</w:t>
            </w:r>
          </w:p>
        </w:tc>
        <w:tc>
          <w:tcPr/>
          <w:p w:rsidR="00000000" w:rsidDel="00000000" w:rsidP="00000000" w:rsidRDefault="00000000" w:rsidRPr="00000000" w14:paraId="0000003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Presencial</w:t>
            </w:r>
          </w:p>
        </w:tc>
      </w:tr>
    </w:tbl>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Ejemplo audio 1</w:t>
      </w:r>
      <w:r w:rsidDel="00000000" w:rsidR="00000000" w:rsidRPr="00000000">
        <w:rPr>
          <w:rFonts w:ascii="Times New Roman" w:cs="Times New Roman" w:eastAsia="Times New Roman" w:hAnsi="Times New Roman"/>
          <w:sz w:val="24"/>
          <w:szCs w:val="24"/>
          <w:rtl w:val="0"/>
        </w:rPr>
        <w:br w:type="textWrapping"/>
        <w:t xml:space="preserve">“</w:t>
      </w:r>
      <w:hyperlink r:id="rId11">
        <w:r w:rsidDel="00000000" w:rsidR="00000000" w:rsidRPr="00000000">
          <w:rPr>
            <w:rFonts w:ascii="Times New Roman" w:cs="Times New Roman" w:eastAsia="Times New Roman" w:hAnsi="Times New Roman"/>
            <w:color w:val="0000ff"/>
            <w:sz w:val="24"/>
            <w:szCs w:val="24"/>
            <w:u w:val="single"/>
            <w:rtl w:val="0"/>
          </w:rPr>
          <w:t xml:space="preserve">Amor con interés</w:t>
        </w:r>
      </w:hyperlink>
      <w:r w:rsidDel="00000000" w:rsidR="00000000" w:rsidRPr="00000000">
        <w:rPr>
          <w:rFonts w:ascii="Times New Roman" w:cs="Times New Roman" w:eastAsia="Times New Roman" w:hAnsi="Times New Roman"/>
          <w:color w:val="0000ff"/>
          <w:sz w:val="24"/>
          <w:szCs w:val="24"/>
          <w:u w:val="single"/>
          <w:rtl w:val="0"/>
        </w:rPr>
        <w:t xml:space="preserve">”</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interpretado por Luis Loza (</w:t>
      </w:r>
      <w:r w:rsidDel="00000000" w:rsidR="00000000" w:rsidRPr="00000000">
        <w:rPr>
          <w:rFonts w:ascii="Times New Roman" w:cs="Times New Roman" w:eastAsia="Times New Roman" w:hAnsi="Times New Roman"/>
          <w:sz w:val="24"/>
          <w:szCs w:val="24"/>
          <w:rtl w:val="0"/>
        </w:rPr>
        <w:t xml:space="preserve">1976?</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3C">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3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Conclusiones</w:t>
      </w:r>
      <w:r w:rsidDel="00000000" w:rsidR="00000000" w:rsidRPr="00000000">
        <w:rPr>
          <w:rtl w:val="0"/>
        </w:rPr>
      </w:r>
    </w:p>
    <w:p w:rsidR="00000000" w:rsidDel="00000000" w:rsidP="00000000" w:rsidRDefault="00000000" w:rsidRPr="00000000" w14:paraId="0000003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w:t>
      </w:r>
      <w:r w:rsidDel="00000000" w:rsidR="00000000" w:rsidRPr="00000000">
        <w:rPr>
          <w:rFonts w:ascii="Times New Roman" w:cs="Times New Roman" w:eastAsia="Times New Roman" w:hAnsi="Times New Roman"/>
          <w:i w:val="1"/>
          <w:iCs w:val="1"/>
          <w:sz w:val="24"/>
          <w:szCs w:val="24"/>
          <w:rtl w:val="0"/>
        </w:rPr>
        <w:t xml:space="preserve">Pequeña suite peruana</w:t>
      </w:r>
      <w:r w:rsidDel="00000000" w:rsidR="00000000" w:rsidRPr="00000000">
        <w:rPr>
          <w:rFonts w:ascii="Times New Roman" w:cs="Times New Roman" w:eastAsia="Times New Roman" w:hAnsi="Times New Roman"/>
          <w:sz w:val="24"/>
          <w:szCs w:val="24"/>
          <w:rtl w:val="0"/>
        </w:rPr>
        <w:t xml:space="preserve"> puede entenderse como una síntesis estética del segundo periodo compositivo de Celso Garrido-Lecca, en el cual la búsqueda de identidad se manifiesta mediante la reinterpretación del folclore y la integración de recursos contemporáneos en su lenguaje propio como creador musical. En las seis piezas que conforman la suite se observa un tratamiento diverso y acertado del material folclórico: </w:t>
      </w:r>
      <w:r w:rsidDel="00000000" w:rsidR="00000000" w:rsidRPr="00000000">
        <w:rPr>
          <w:rFonts w:ascii="Times New Roman" w:cs="Times New Roman" w:eastAsia="Times New Roman" w:hAnsi="Times New Roman"/>
          <w:i w:val="1"/>
          <w:iCs w:val="1"/>
          <w:sz w:val="24"/>
          <w:szCs w:val="24"/>
          <w:rtl w:val="0"/>
        </w:rPr>
        <w:t xml:space="preserve">Juego de terceras</w:t>
      </w:r>
      <w:r w:rsidDel="00000000" w:rsidR="00000000" w:rsidRPr="00000000">
        <w:rPr>
          <w:rFonts w:ascii="Times New Roman" w:cs="Times New Roman" w:eastAsia="Times New Roman" w:hAnsi="Times New Roman"/>
          <w:sz w:val="24"/>
          <w:szCs w:val="24"/>
          <w:rtl w:val="0"/>
        </w:rPr>
        <w:t xml:space="preserve"> funciona como punto de partida técnico y simbólico; </w:t>
      </w:r>
      <w:r w:rsidDel="00000000" w:rsidR="00000000" w:rsidRPr="00000000">
        <w:rPr>
          <w:rFonts w:ascii="Times New Roman" w:cs="Times New Roman" w:eastAsia="Times New Roman" w:hAnsi="Times New Roman"/>
          <w:i w:val="1"/>
          <w:iCs w:val="1"/>
          <w:sz w:val="24"/>
          <w:szCs w:val="24"/>
          <w:rtl w:val="0"/>
        </w:rPr>
        <w:t xml:space="preserve">Negrito de Malambo</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iCs w:val="1"/>
          <w:sz w:val="24"/>
          <w:szCs w:val="24"/>
          <w:rtl w:val="0"/>
        </w:rPr>
        <w:t xml:space="preserve">Sicuri</w:t>
      </w:r>
      <w:r w:rsidDel="00000000" w:rsidR="00000000" w:rsidRPr="00000000">
        <w:rPr>
          <w:rFonts w:ascii="Times New Roman" w:cs="Times New Roman" w:eastAsia="Times New Roman" w:hAnsi="Times New Roman"/>
          <w:sz w:val="24"/>
          <w:szCs w:val="24"/>
          <w:rtl w:val="0"/>
        </w:rPr>
        <w:t xml:space="preserve"> destacan por una energía rítmica y sentido colectivo en su desarrollo; </w:t>
      </w:r>
      <w:r w:rsidDel="00000000" w:rsidR="00000000" w:rsidRPr="00000000">
        <w:rPr>
          <w:rFonts w:ascii="Times New Roman" w:cs="Times New Roman" w:eastAsia="Times New Roman" w:hAnsi="Times New Roman"/>
          <w:i w:val="1"/>
          <w:iCs w:val="1"/>
          <w:sz w:val="24"/>
          <w:szCs w:val="24"/>
          <w:rtl w:val="0"/>
        </w:rPr>
        <w:t xml:space="preserve">Quena y antara</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iCs w:val="1"/>
          <w:sz w:val="24"/>
          <w:szCs w:val="24"/>
          <w:rtl w:val="0"/>
        </w:rPr>
        <w:t xml:space="preserve">Torito de Pucará</w:t>
      </w:r>
      <w:r w:rsidDel="00000000" w:rsidR="00000000" w:rsidRPr="00000000">
        <w:rPr>
          <w:rFonts w:ascii="Times New Roman" w:cs="Times New Roman" w:eastAsia="Times New Roman" w:hAnsi="Times New Roman"/>
          <w:sz w:val="24"/>
          <w:szCs w:val="24"/>
          <w:rtl w:val="0"/>
        </w:rPr>
        <w:t xml:space="preserve"> exploran la dualidad y el diálogo entre tradición y modernidad; mientras que </w:t>
      </w:r>
      <w:r w:rsidDel="00000000" w:rsidR="00000000" w:rsidRPr="00000000">
        <w:rPr>
          <w:rFonts w:ascii="Times New Roman" w:cs="Times New Roman" w:eastAsia="Times New Roman" w:hAnsi="Times New Roman"/>
          <w:i w:val="1"/>
          <w:iCs w:val="1"/>
          <w:sz w:val="24"/>
          <w:szCs w:val="24"/>
          <w:rtl w:val="0"/>
        </w:rPr>
        <w:t xml:space="preserve">Tondero</w:t>
      </w:r>
      <w:r w:rsidDel="00000000" w:rsidR="00000000" w:rsidRPr="00000000">
        <w:rPr>
          <w:rFonts w:ascii="Times New Roman" w:cs="Times New Roman" w:eastAsia="Times New Roman" w:hAnsi="Times New Roman"/>
          <w:sz w:val="24"/>
          <w:szCs w:val="24"/>
          <w:rtl w:val="0"/>
        </w:rPr>
        <w:t xml:space="preserve"> actúa como cierre simbólico, un retorno a la ciudad natal del compositor mediante un imaginario sonoro construido desde su propia percepción cultural.</w:t>
      </w:r>
    </w:p>
    <w:p w:rsidR="00000000" w:rsidDel="00000000" w:rsidP="00000000" w:rsidRDefault="00000000" w:rsidRPr="00000000" w14:paraId="0000003F">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decisión del compositor de publicar y/o componer esta obra en el último año de su gestión como director del Conservatorio Nacional de Música adquiere un valor simbólico dentro de su trayectoria artística y personal, pues puede interpretarse como una reafirmación de su vínculo con las raíces culturales de su país natal y, al mismo tiempo, como una síntesis de su pensamiento estético que se seguiría desarrollando hasta su último periodo compositivo.</w:t>
      </w:r>
    </w:p>
    <w:p w:rsidR="00000000" w:rsidDel="00000000" w:rsidP="00000000" w:rsidRDefault="00000000" w:rsidRPr="00000000" w14:paraId="00000040">
      <w:pPr>
        <w:spacing w:line="276" w:lineRule="auto"/>
        <w:ind w:firstLine="720"/>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24"/>
          <w:szCs w:val="24"/>
          <w:rtl w:val="0"/>
        </w:rPr>
        <w:t xml:space="preserve">Este estudio contribuye a una comprensión más amplia de la obra de Garrido-Lecca desde una perspectiva analítica que combina la observación técnica con una lectura contextual y, sobre todo, simbólica. Asimismo, la investigación propone el concepto de imaginario folclórico como una herramienta interpretativa útil para comprender cómo los compositores latinoamericanos reinterpretan simbólicamente las tradiciones musicales dentro del lenguaje académico contemporáneo. Además, plantea la necesidad de continuar explorando la producción del compositor, en especial aquellas obras que ha reinterpretado o reelaborado a lo largo de su carrera, como en este caso específico la </w:t>
      </w:r>
      <w:r w:rsidDel="00000000" w:rsidR="00000000" w:rsidRPr="00000000">
        <w:rPr>
          <w:rFonts w:ascii="Times New Roman" w:cs="Times New Roman" w:eastAsia="Times New Roman" w:hAnsi="Times New Roman"/>
          <w:i w:val="1"/>
          <w:iCs w:val="1"/>
          <w:sz w:val="24"/>
          <w:szCs w:val="24"/>
          <w:rtl w:val="0"/>
        </w:rPr>
        <w:t xml:space="preserve">Suite peruana</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iCs w:val="1"/>
          <w:sz w:val="24"/>
          <w:szCs w:val="24"/>
          <w:rtl w:val="0"/>
        </w:rPr>
        <w:t xml:space="preserve">Poéticas</w:t>
      </w:r>
      <w:r w:rsidDel="00000000" w:rsidR="00000000" w:rsidRPr="00000000">
        <w:rPr>
          <w:rFonts w:ascii="Times New Roman" w:cs="Times New Roman" w:eastAsia="Times New Roman" w:hAnsi="Times New Roman"/>
          <w:sz w:val="24"/>
          <w:szCs w:val="24"/>
          <w:rtl w:val="0"/>
        </w:rPr>
        <w:t xml:space="preserve">, ambas derivadas de la </w:t>
      </w:r>
      <w:r w:rsidDel="00000000" w:rsidR="00000000" w:rsidRPr="00000000">
        <w:rPr>
          <w:rFonts w:ascii="Times New Roman" w:cs="Times New Roman" w:eastAsia="Times New Roman" w:hAnsi="Times New Roman"/>
          <w:i w:val="1"/>
          <w:iCs w:val="1"/>
          <w:sz w:val="24"/>
          <w:szCs w:val="24"/>
          <w:rtl w:val="0"/>
        </w:rPr>
        <w:t xml:space="preserve">Pequeña suite peruana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para piano</w:t>
      </w:r>
      <w:r w:rsidDel="00000000" w:rsidR="00000000" w:rsidRPr="00000000">
        <w:rPr>
          <w:rFonts w:ascii="Times New Roman" w:cs="Times New Roman" w:eastAsia="Times New Roman" w:hAnsi="Times New Roman"/>
          <w:sz w:val="24"/>
          <w:szCs w:val="24"/>
          <w:rtl w:val="0"/>
        </w:rPr>
        <w:t xml:space="preserve">. El estudio de estas piezas podría ofrecer nuevas perspectivas sobre el modo en que Garrido-Lecca concibe la identidad y la memoria sonora, revelando el recorrido de su pensamiento estético y su lenguaje musical a lo largo de su trayectoria. </w:t>
      </w:r>
      <w:r w:rsidDel="00000000" w:rsidR="00000000" w:rsidRPr="00000000">
        <w:rPr>
          <w:rtl w:val="0"/>
        </w:rPr>
      </w:r>
    </w:p>
    <w:p w:rsidR="00000000" w:rsidDel="00000000" w:rsidP="00000000" w:rsidRDefault="00000000" w:rsidRPr="00000000" w14:paraId="00000041">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2">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3">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4">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5">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6">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7">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8">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9">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A">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B">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C">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D">
      <w:pPr>
        <w:spacing w:line="480" w:lineRule="auto"/>
        <w:jc w:val="both"/>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E">
      <w:pPr>
        <w:spacing w:line="48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Rol de autores CrediT</w:t>
      </w:r>
      <w:r w:rsidDel="00000000" w:rsidR="00000000" w:rsidRPr="00000000">
        <w:rPr>
          <w:rFonts w:ascii="Times New Roman" w:cs="Times New Roman" w:eastAsia="Times New Roman" w:hAnsi="Times New Roman"/>
          <w:sz w:val="18"/>
          <w:szCs w:val="18"/>
          <w:rtl w:val="0"/>
        </w:rPr>
        <w:t xml:space="preserve"> </w:t>
      </w:r>
    </w:p>
    <w:tbl>
      <w:tblPr>
        <w:tblStyle w:val="Table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7305"/>
        <w:tblGridChange w:id="0">
          <w:tblGrid>
            <w:gridCol w:w="1695"/>
            <w:gridCol w:w="73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ASM: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Administración del proyecto, Conceptualización, Curación de datos, Análisis formal, Metodología, Visualización, Redacción del borrador inicial, Revisión y aprobación del manuscrito final para publicación.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Fuentes de financiamiento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 investigación fue en su totalidad autofinanciada por el autor de este trabajo.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Conflicto de interés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El autor declara no tener ningún conflicto de interés económico, institucional o laboral.  </w:t>
            </w:r>
          </w:p>
          <w:p w:rsidR="00000000" w:rsidDel="00000000" w:rsidP="00000000" w:rsidRDefault="00000000" w:rsidRPr="00000000" w14:paraId="00000055">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Aspectos éticos</w:t>
            </w:r>
            <w:r w:rsidDel="00000000" w:rsidR="00000000" w:rsidRPr="00000000">
              <w:rPr>
                <w:rFonts w:ascii="Times New Roman" w:cs="Times New Roman" w:eastAsia="Times New Roman" w:hAnsi="Times New Roman"/>
                <w:sz w:val="18"/>
                <w:szCs w:val="1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 cumplió con las normas éticas, los códigos de conducta para la investigación y los lineamientos de </w:t>
            </w:r>
            <w:r w:rsidDel="00000000" w:rsidR="00000000" w:rsidRPr="00000000">
              <w:rPr>
                <w:rFonts w:ascii="Times New Roman" w:cs="Times New Roman" w:eastAsia="Times New Roman" w:hAnsi="Times New Roman"/>
                <w:i w:val="1"/>
                <w:iCs w:val="1"/>
                <w:sz w:val="18"/>
                <w:szCs w:val="18"/>
                <w:rtl w:val="0"/>
              </w:rPr>
              <w:t xml:space="preserve">Antec: Revista Peruana de Investigación Musical</w:t>
            </w:r>
            <w:r w:rsidDel="00000000" w:rsidR="00000000" w:rsidRPr="00000000">
              <w:rPr>
                <w:rFonts w:ascii="Times New Roman" w:cs="Times New Roman" w:eastAsia="Times New Roman" w:hAnsi="Times New Roman"/>
                <w:sz w:val="18"/>
                <w:szCs w:val="18"/>
                <w:rtl w:val="0"/>
              </w:rPr>
              <w:t xml:space="preserve">.</w:t>
            </w:r>
          </w:p>
        </w:tc>
      </w:tr>
    </w:tbl>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E">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1">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3">
      <w:pPr>
        <w:spacing w:line="276.00000545454543"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Referencias</w:t>
      </w:r>
    </w:p>
    <w:p w:rsidR="00000000" w:rsidDel="00000000" w:rsidP="00000000" w:rsidRDefault="00000000" w:rsidRPr="00000000" w14:paraId="00000074">
      <w:pPr>
        <w:spacing w:after="240" w:before="240" w:line="276.00000545454543"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shd w:fill="fff2cc" w:val="clear"/>
          <w:rtl w:val="0"/>
        </w:rPr>
        <w:t xml:space="preserve">15 referencias como mínimo.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5">
      <w:pPr>
        <w:spacing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Agawu, K. (2004). How we got out of analysis, and how to get back in again. </w:t>
      </w:r>
      <w:r w:rsidDel="00000000" w:rsidR="00000000" w:rsidRPr="00000000">
        <w:rPr>
          <w:rFonts w:ascii="Times New Roman" w:cs="Times New Roman" w:eastAsia="Times New Roman" w:hAnsi="Times New Roman"/>
          <w:i w:val="1"/>
          <w:iCs w:val="1"/>
          <w:sz w:val="24"/>
          <w:szCs w:val="24"/>
          <w:rtl w:val="0"/>
        </w:rPr>
        <w:t xml:space="preserve">Music Analysis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(2-3), 267–286. </w:t>
      </w:r>
      <w:hyperlink r:id="rId12">
        <w:r w:rsidDel="00000000" w:rsidR="00000000" w:rsidRPr="00000000">
          <w:rPr>
            <w:rFonts w:ascii="Times New Roman" w:cs="Times New Roman" w:eastAsia="Times New Roman" w:hAnsi="Times New Roman"/>
            <w:color w:val="1155cc"/>
            <w:sz w:val="24"/>
            <w:szCs w:val="24"/>
            <w:u w:val="single"/>
            <w:rtl w:val="0"/>
          </w:rPr>
          <w:t xml:space="preserve">https://doi.org/10.1111/j.0262-5245.2004.00204.x</w:t>
        </w:r>
      </w:hyperlink>
      <w:r w:rsidDel="00000000" w:rsidR="00000000" w:rsidRPr="00000000">
        <w:rPr>
          <w:rtl w:val="0"/>
        </w:rPr>
      </w:r>
    </w:p>
    <w:p w:rsidR="00000000" w:rsidDel="00000000" w:rsidP="00000000" w:rsidRDefault="00000000" w:rsidRPr="00000000" w14:paraId="0000007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Aramayo Cordero, O. A. (2017). Orígenes de la diablada. </w:t>
      </w:r>
      <w:r w:rsidDel="00000000" w:rsidR="00000000" w:rsidRPr="00000000">
        <w:rPr>
          <w:rFonts w:ascii="Times New Roman" w:cs="Times New Roman" w:eastAsia="Times New Roman" w:hAnsi="Times New Roman"/>
          <w:i w:val="1"/>
          <w:iCs w:val="1"/>
          <w:sz w:val="24"/>
          <w:szCs w:val="24"/>
          <w:rtl w:val="0"/>
        </w:rPr>
        <w:t xml:space="preserve">La Vida &amp; la Historia</w:t>
      </w:r>
      <w:r w:rsidDel="00000000" w:rsidR="00000000" w:rsidRPr="00000000">
        <w:rPr>
          <w:rFonts w:ascii="Times New Roman" w:cs="Times New Roman" w:eastAsia="Times New Roman" w:hAnsi="Times New Roman"/>
          <w:sz w:val="24"/>
          <w:szCs w:val="24"/>
          <w:rtl w:val="0"/>
        </w:rPr>
        <w:t xml:space="preserve">, (6), 93-97. </w:t>
      </w:r>
      <w:hyperlink r:id="rId13">
        <w:r w:rsidDel="00000000" w:rsidR="00000000" w:rsidRPr="00000000">
          <w:rPr>
            <w:color w:val="1155cc"/>
            <w:sz w:val="21"/>
            <w:szCs w:val="21"/>
            <w:u w:val="single"/>
            <w:rtl w:val="0"/>
          </w:rPr>
          <w:t xml:space="preserve">https://doi.org/10.33326/26176041.2017.6.416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Arguedas, J. M. (1964). ¿Qué es el folklore? </w:t>
      </w:r>
      <w:r w:rsidDel="00000000" w:rsidR="00000000" w:rsidRPr="00000000">
        <w:rPr>
          <w:rFonts w:ascii="Times New Roman" w:cs="Times New Roman" w:eastAsia="Times New Roman" w:hAnsi="Times New Roman"/>
          <w:i w:val="1"/>
          <w:iCs w:val="1"/>
          <w:sz w:val="24"/>
          <w:szCs w:val="24"/>
          <w:rtl w:val="0"/>
        </w:rPr>
        <w:t xml:space="preserve">Cultura y Pueblo</w:t>
      </w:r>
      <w:r w:rsidDel="00000000" w:rsidR="00000000" w:rsidRPr="00000000">
        <w:rPr>
          <w:rFonts w:ascii="Times New Roman" w:cs="Times New Roman" w:eastAsia="Times New Roman" w:hAnsi="Times New Roman"/>
          <w:sz w:val="24"/>
          <w:szCs w:val="24"/>
          <w:rtl w:val="0"/>
        </w:rPr>
        <w:t xml:space="preserve">, (1), 10-11. </w:t>
      </w:r>
    </w:p>
    <w:p w:rsidR="00000000" w:rsidDel="00000000" w:rsidP="00000000" w:rsidRDefault="00000000" w:rsidRPr="00000000" w14:paraId="00000078">
      <w:pPr>
        <w:spacing w:after="240" w:before="240"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Ball-Camurdan, M. (2014). La quena: Herencia. </w:t>
      </w:r>
      <w:r w:rsidDel="00000000" w:rsidR="00000000" w:rsidRPr="00000000">
        <w:rPr>
          <w:rFonts w:ascii="Times New Roman" w:cs="Times New Roman" w:eastAsia="Times New Roman" w:hAnsi="Times New Roman"/>
          <w:i w:val="1"/>
          <w:iCs w:val="1"/>
          <w:sz w:val="24"/>
          <w:szCs w:val="24"/>
          <w:rtl w:val="0"/>
        </w:rPr>
        <w:t xml:space="preserve">Surco Sur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(7), 16. </w:t>
      </w:r>
      <w:hyperlink r:id="rId14">
        <w:r w:rsidDel="00000000" w:rsidR="00000000" w:rsidRPr="00000000">
          <w:rPr>
            <w:rFonts w:ascii="Times New Roman" w:cs="Times New Roman" w:eastAsia="Times New Roman" w:hAnsi="Times New Roman"/>
            <w:color w:val="1155cc"/>
            <w:sz w:val="24"/>
            <w:szCs w:val="24"/>
            <w:u w:val="single"/>
            <w:rtl w:val="0"/>
          </w:rPr>
          <w:t xml:space="preserve">https://doi.org/10.5038/2157-5231.4.7.15</w:t>
        </w:r>
      </w:hyperlink>
      <w:r w:rsidDel="00000000" w:rsidR="00000000" w:rsidRPr="00000000">
        <w:rPr>
          <w:rtl w:val="0"/>
        </w:rPr>
      </w:r>
    </w:p>
    <w:p w:rsidR="00000000" w:rsidDel="00000000" w:rsidP="00000000" w:rsidRDefault="00000000" w:rsidRPr="00000000" w14:paraId="0000007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Borgdorff, H. (2010). El debate sobre la investigación en las artes. </w:t>
      </w:r>
      <w:r w:rsidDel="00000000" w:rsidR="00000000" w:rsidRPr="00000000">
        <w:rPr>
          <w:rFonts w:ascii="Times New Roman" w:cs="Times New Roman" w:eastAsia="Times New Roman" w:hAnsi="Times New Roman"/>
          <w:i w:val="1"/>
          <w:iCs w:val="1"/>
          <w:sz w:val="24"/>
          <w:szCs w:val="24"/>
          <w:rtl w:val="0"/>
        </w:rPr>
        <w:t xml:space="preserve">Cairon: Revista Ciencias de la Danza</w:t>
      </w:r>
      <w:r w:rsidDel="00000000" w:rsidR="00000000" w:rsidRPr="00000000">
        <w:rPr>
          <w:rFonts w:ascii="Times New Roman" w:cs="Times New Roman" w:eastAsia="Times New Roman" w:hAnsi="Times New Roman"/>
          <w:sz w:val="24"/>
          <w:szCs w:val="24"/>
          <w:rtl w:val="0"/>
        </w:rPr>
        <w:t xml:space="preserve">, (13), 25-46. </w:t>
      </w:r>
    </w:p>
    <w:p w:rsidR="00000000" w:rsidDel="00000000" w:rsidP="00000000" w:rsidRDefault="00000000" w:rsidRPr="00000000" w14:paraId="0000007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 P. (2022). </w:t>
      </w:r>
      <w:r w:rsidDel="00000000" w:rsidR="00000000" w:rsidRPr="00000000">
        <w:rPr>
          <w:rFonts w:ascii="Times New Roman" w:cs="Times New Roman" w:eastAsia="Times New Roman" w:hAnsi="Times New Roman"/>
          <w:i w:val="1"/>
          <w:iCs w:val="1"/>
          <w:sz w:val="24"/>
          <w:szCs w:val="24"/>
          <w:rtl w:val="0"/>
        </w:rPr>
        <w:t xml:space="preserve">Piano works by Roberto Carpio, Celso Garrido-Lecca, and Carlos Valderrama: Rediscovering a Peruvian musical heritage</w:t>
      </w:r>
      <w:r w:rsidDel="00000000" w:rsidR="00000000" w:rsidRPr="00000000">
        <w:rPr>
          <w:rFonts w:ascii="Times New Roman" w:cs="Times New Roman" w:eastAsia="Times New Roman" w:hAnsi="Times New Roman"/>
          <w:sz w:val="24"/>
          <w:szCs w:val="24"/>
          <w:rtl w:val="0"/>
        </w:rPr>
        <w:t xml:space="preserve"> [Tesis doctoral, University of Georgia]. </w:t>
      </w:r>
    </w:p>
    <w:p w:rsidR="00000000" w:rsidDel="00000000" w:rsidP="00000000" w:rsidRDefault="00000000" w:rsidRPr="00000000" w14:paraId="0000007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Cook, N. (1994). </w:t>
      </w:r>
      <w:r w:rsidDel="00000000" w:rsidR="00000000" w:rsidRPr="00000000">
        <w:rPr>
          <w:rFonts w:ascii="Times New Roman" w:cs="Times New Roman" w:eastAsia="Times New Roman" w:hAnsi="Times New Roman"/>
          <w:i w:val="1"/>
          <w:iCs w:val="1"/>
          <w:sz w:val="24"/>
          <w:szCs w:val="24"/>
          <w:rtl w:val="0"/>
        </w:rPr>
        <w:t xml:space="preserve">A guide to musical analysis</w:t>
      </w:r>
      <w:r w:rsidDel="00000000" w:rsidR="00000000" w:rsidRPr="00000000">
        <w:rPr>
          <w:rFonts w:ascii="Times New Roman" w:cs="Times New Roman" w:eastAsia="Times New Roman" w:hAnsi="Times New Roman"/>
          <w:sz w:val="24"/>
          <w:szCs w:val="24"/>
          <w:rtl w:val="0"/>
        </w:rPr>
        <w:t xml:space="preserve">. Oxford University Press. </w:t>
      </w:r>
      <w:hyperlink r:id="rId15">
        <w:r w:rsidDel="00000000" w:rsidR="00000000" w:rsidRPr="00000000">
          <w:rPr>
            <w:rFonts w:ascii="Times New Roman" w:cs="Times New Roman" w:eastAsia="Times New Roman" w:hAnsi="Times New Roman"/>
            <w:color w:val="1155cc"/>
            <w:sz w:val="24"/>
            <w:szCs w:val="24"/>
            <w:u w:val="single"/>
            <w:rtl w:val="0"/>
          </w:rPr>
          <w:t xml:space="preserve">https://books.google.com.pe/books/about/A_Guide_to_Musical_Analysis.html?id=wwKreRHGoVUC&amp;redir_esc=y</w:t>
        </w:r>
      </w:hyperlink>
      <w:r w:rsidDel="00000000" w:rsidR="00000000" w:rsidRPr="00000000">
        <w:rPr>
          <w:rtl w:val="0"/>
        </w:rPr>
      </w:r>
    </w:p>
    <w:p w:rsidR="00000000" w:rsidDel="00000000" w:rsidP="00000000" w:rsidRDefault="00000000" w:rsidRPr="00000000" w14:paraId="0000007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Cueto, R. (2002). El folclore imaginario. </w:t>
      </w:r>
      <w:r w:rsidDel="00000000" w:rsidR="00000000" w:rsidRPr="00000000">
        <w:rPr>
          <w:rFonts w:ascii="Times New Roman" w:cs="Times New Roman" w:eastAsia="Times New Roman" w:hAnsi="Times New Roman"/>
          <w:i w:val="1"/>
          <w:iCs w:val="1"/>
          <w:sz w:val="24"/>
          <w:szCs w:val="24"/>
          <w:rtl w:val="0"/>
        </w:rPr>
        <w:t xml:space="preserve">Nosferatu. Revista de cine.</w:t>
      </w:r>
      <w:r w:rsidDel="00000000" w:rsidR="00000000" w:rsidRPr="00000000">
        <w:rPr>
          <w:rFonts w:ascii="Times New Roman" w:cs="Times New Roman" w:eastAsia="Times New Roman" w:hAnsi="Times New Roman"/>
          <w:sz w:val="24"/>
          <w:szCs w:val="24"/>
          <w:rtl w:val="0"/>
        </w:rPr>
        <w:t xml:space="preserve"> (41), 99-117.</w:t>
      </w:r>
    </w:p>
    <w:p w:rsidR="00000000" w:rsidDel="00000000" w:rsidP="00000000" w:rsidRDefault="00000000" w:rsidRPr="00000000" w14:paraId="0000007D">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D’Harcourt, R., &amp; D’Harcourt, M. (1990). </w:t>
      </w:r>
      <w:r w:rsidDel="00000000" w:rsidR="00000000" w:rsidRPr="00000000">
        <w:rPr>
          <w:rFonts w:ascii="Times New Roman" w:cs="Times New Roman" w:eastAsia="Times New Roman" w:hAnsi="Times New Roman"/>
          <w:i w:val="1"/>
          <w:iCs w:val="1"/>
          <w:sz w:val="24"/>
          <w:szCs w:val="24"/>
          <w:rtl w:val="0"/>
        </w:rPr>
        <w:t xml:space="preserve">La música de los Incas y sus supervivencias</w:t>
      </w:r>
      <w:r w:rsidDel="00000000" w:rsidR="00000000" w:rsidRPr="00000000">
        <w:rPr>
          <w:rFonts w:ascii="Times New Roman" w:cs="Times New Roman" w:eastAsia="Times New Roman" w:hAnsi="Times New Roman"/>
          <w:sz w:val="24"/>
          <w:szCs w:val="24"/>
          <w:rtl w:val="0"/>
        </w:rPr>
        <w:t xml:space="preserve">. OXY. (Trabajo original publicado en 1935)</w:t>
      </w:r>
    </w:p>
    <w:p w:rsidR="00000000" w:rsidDel="00000000" w:rsidP="00000000" w:rsidRDefault="00000000" w:rsidRPr="00000000" w14:paraId="0000007E">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Dorson, R. M. (1961). Folklore studies in England. </w:t>
      </w:r>
      <w:r w:rsidDel="00000000" w:rsidR="00000000" w:rsidRPr="00000000">
        <w:rPr>
          <w:rFonts w:ascii="Times New Roman" w:cs="Times New Roman" w:eastAsia="Times New Roman" w:hAnsi="Times New Roman"/>
          <w:i w:val="1"/>
          <w:iCs w:val="1"/>
          <w:sz w:val="24"/>
          <w:szCs w:val="24"/>
          <w:rtl w:val="0"/>
        </w:rPr>
        <w:t xml:space="preserve">The Journal of American Folklore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74</w:t>
      </w:r>
      <w:r w:rsidDel="00000000" w:rsidR="00000000" w:rsidRPr="00000000">
        <w:rPr>
          <w:rFonts w:ascii="Times New Roman" w:cs="Times New Roman" w:eastAsia="Times New Roman" w:hAnsi="Times New Roman"/>
          <w:sz w:val="24"/>
          <w:szCs w:val="24"/>
          <w:rtl w:val="0"/>
        </w:rPr>
        <w:t xml:space="preserve">(294), 302-312. </w:t>
      </w:r>
      <w:hyperlink r:id="rId16">
        <w:r w:rsidDel="00000000" w:rsidR="00000000" w:rsidRPr="00000000">
          <w:rPr>
            <w:rFonts w:ascii="Times New Roman" w:cs="Times New Roman" w:eastAsia="Times New Roman" w:hAnsi="Times New Roman"/>
            <w:color w:val="1155cc"/>
            <w:sz w:val="24"/>
            <w:szCs w:val="24"/>
            <w:u w:val="single"/>
            <w:rtl w:val="0"/>
          </w:rPr>
          <w:t xml:space="preserve">https://doi.org/10.2307/538252</w:t>
        </w:r>
      </w:hyperlink>
      <w:r w:rsidDel="00000000" w:rsidR="00000000" w:rsidRPr="00000000">
        <w:rPr>
          <w:rtl w:val="0"/>
        </w:rPr>
      </w:r>
    </w:p>
    <w:p w:rsidR="00000000" w:rsidDel="00000000" w:rsidP="00000000" w:rsidRDefault="00000000" w:rsidRPr="00000000" w14:paraId="0000007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Flores, M. (2004). Implicaciones de los paradigmas de investigación en la práctica educativa. </w:t>
      </w:r>
      <w:r w:rsidDel="00000000" w:rsidR="00000000" w:rsidRPr="00000000">
        <w:rPr>
          <w:rFonts w:ascii="Times New Roman" w:cs="Times New Roman" w:eastAsia="Times New Roman" w:hAnsi="Times New Roman"/>
          <w:i w:val="1"/>
          <w:iCs w:val="1"/>
          <w:sz w:val="24"/>
          <w:szCs w:val="24"/>
          <w:rtl w:val="0"/>
        </w:rPr>
        <w:t xml:space="preserve">Revista Digital Universitaria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(1), 2-9. </w:t>
      </w:r>
    </w:p>
    <w:p w:rsidR="00000000" w:rsidDel="00000000" w:rsidP="00000000" w:rsidRDefault="00000000" w:rsidRPr="00000000" w14:paraId="00000080">
      <w:pPr>
        <w:spacing w:after="240" w:before="240"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Garrido-Lecca, C. (2020). </w:t>
      </w:r>
      <w:r w:rsidDel="00000000" w:rsidR="00000000" w:rsidRPr="00000000">
        <w:rPr>
          <w:rFonts w:ascii="Times New Roman" w:cs="Times New Roman" w:eastAsia="Times New Roman" w:hAnsi="Times New Roman"/>
          <w:i w:val="1"/>
          <w:iCs w:val="1"/>
          <w:sz w:val="24"/>
          <w:szCs w:val="24"/>
          <w:rtl w:val="0"/>
        </w:rPr>
        <w:t xml:space="preserve">Garrido-Lecca, Celso</w:t>
      </w:r>
      <w:r w:rsidDel="00000000" w:rsidR="00000000" w:rsidRPr="00000000">
        <w:rPr>
          <w:rFonts w:ascii="Times New Roman" w:cs="Times New Roman" w:eastAsia="Times New Roman" w:hAnsi="Times New Roman"/>
          <w:sz w:val="24"/>
          <w:szCs w:val="24"/>
          <w:rtl w:val="0"/>
        </w:rPr>
        <w:t xml:space="preserve">. EAFIT Repository. </w:t>
      </w:r>
      <w:hyperlink r:id="rId17">
        <w:r w:rsidDel="00000000" w:rsidR="00000000" w:rsidRPr="00000000">
          <w:rPr>
            <w:rFonts w:ascii="Times New Roman" w:cs="Times New Roman" w:eastAsia="Times New Roman" w:hAnsi="Times New Roman"/>
            <w:color w:val="1155cc"/>
            <w:sz w:val="24"/>
            <w:szCs w:val="24"/>
            <w:u w:val="single"/>
            <w:rtl w:val="0"/>
          </w:rPr>
          <w:t xml:space="preserve">https://repository.eafit.edu.co/items/639bdf56-4565-40e9-b854-128f6ebcf4ee</w:t>
        </w:r>
      </w:hyperlink>
      <w:r w:rsidDel="00000000" w:rsidR="00000000" w:rsidRPr="00000000">
        <w:rPr>
          <w:rtl w:val="0"/>
        </w:rPr>
      </w:r>
    </w:p>
    <w:p w:rsidR="00000000" w:rsidDel="00000000" w:rsidP="00000000" w:rsidRDefault="00000000" w:rsidRPr="00000000" w14:paraId="0000008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González, M. (2002). Folclore, música y nación: El papel del bambuco en la construcción de lo colombiano. </w:t>
      </w:r>
      <w:r w:rsidDel="00000000" w:rsidR="00000000" w:rsidRPr="00000000">
        <w:rPr>
          <w:rFonts w:ascii="Times New Roman" w:cs="Times New Roman" w:eastAsia="Times New Roman" w:hAnsi="Times New Roman"/>
          <w:i w:val="1"/>
          <w:iCs w:val="1"/>
          <w:sz w:val="24"/>
          <w:szCs w:val="24"/>
          <w:rtl w:val="0"/>
        </w:rPr>
        <w:t xml:space="preserve">Nómadas</w:t>
      </w:r>
      <w:r w:rsidDel="00000000" w:rsidR="00000000" w:rsidRPr="00000000">
        <w:rPr>
          <w:rFonts w:ascii="Times New Roman" w:cs="Times New Roman" w:eastAsia="Times New Roman" w:hAnsi="Times New Roman"/>
          <w:sz w:val="24"/>
          <w:szCs w:val="24"/>
          <w:rtl w:val="0"/>
        </w:rPr>
        <w:t xml:space="preserve">, (17), 219-231. </w:t>
      </w:r>
    </w:p>
    <w:p w:rsidR="00000000" w:rsidDel="00000000" w:rsidP="00000000" w:rsidRDefault="00000000" w:rsidRPr="00000000" w14:paraId="0000008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Grebe, M. E. (1991). Aportes y limitaciones del análisis musical en la investigación musicológica y etnomusicológica. </w:t>
      </w:r>
      <w:r w:rsidDel="00000000" w:rsidR="00000000" w:rsidRPr="00000000">
        <w:rPr>
          <w:rFonts w:ascii="Times New Roman" w:cs="Times New Roman" w:eastAsia="Times New Roman" w:hAnsi="Times New Roman"/>
          <w:i w:val="1"/>
          <w:iCs w:val="1"/>
          <w:sz w:val="24"/>
          <w:szCs w:val="24"/>
          <w:rtl w:val="0"/>
        </w:rPr>
        <w:t xml:space="preserve">Revista Musical Chilena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45</w:t>
      </w:r>
      <w:r w:rsidDel="00000000" w:rsidR="00000000" w:rsidRPr="00000000">
        <w:rPr>
          <w:rFonts w:ascii="Times New Roman" w:cs="Times New Roman" w:eastAsia="Times New Roman" w:hAnsi="Times New Roman"/>
          <w:sz w:val="24"/>
          <w:szCs w:val="24"/>
          <w:rtl w:val="0"/>
        </w:rPr>
        <w:t xml:space="preserve">(175), 10–18. </w:t>
      </w:r>
    </w:p>
    <w:p w:rsidR="00000000" w:rsidDel="00000000" w:rsidP="00000000" w:rsidRDefault="00000000" w:rsidRPr="00000000" w14:paraId="0000008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Ichuta,  G. (2003). De la ciudad al campo: Sikuri-sikuriada. </w:t>
      </w:r>
      <w:r w:rsidDel="00000000" w:rsidR="00000000" w:rsidRPr="00000000">
        <w:rPr>
          <w:rFonts w:ascii="Times New Roman" w:cs="Times New Roman" w:eastAsia="Times New Roman" w:hAnsi="Times New Roman"/>
          <w:i w:val="1"/>
          <w:iCs w:val="1"/>
          <w:sz w:val="24"/>
          <w:szCs w:val="24"/>
          <w:rtl w:val="0"/>
        </w:rPr>
        <w:t xml:space="preserve">Textos Antropológicos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 87. </w:t>
      </w:r>
    </w:p>
    <w:p w:rsidR="00000000" w:rsidDel="00000000" w:rsidP="00000000" w:rsidRDefault="00000000" w:rsidRPr="00000000" w14:paraId="0000008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Iturriaga, E. (1994). Celso Garrido-Lecca: Las búsquedas y los encuentros (sus composiciones entre 1983 y 1993). </w:t>
      </w:r>
      <w:r w:rsidDel="00000000" w:rsidR="00000000" w:rsidRPr="00000000">
        <w:rPr>
          <w:rFonts w:ascii="Times New Roman" w:cs="Times New Roman" w:eastAsia="Times New Roman" w:hAnsi="Times New Roman"/>
          <w:i w:val="1"/>
          <w:iCs w:val="1"/>
          <w:sz w:val="24"/>
          <w:szCs w:val="24"/>
          <w:rtl w:val="0"/>
        </w:rPr>
        <w:t xml:space="preserve">La Casa de Cartón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(3), 28-35. </w:t>
      </w:r>
    </w:p>
    <w:p w:rsidR="00000000" w:rsidDel="00000000" w:rsidP="00000000" w:rsidRDefault="00000000" w:rsidRPr="00000000" w14:paraId="0000008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Lomax, A. (1976). </w:t>
      </w:r>
      <w:r w:rsidDel="00000000" w:rsidR="00000000" w:rsidRPr="00000000">
        <w:rPr>
          <w:rFonts w:ascii="Times New Roman" w:cs="Times New Roman" w:eastAsia="Times New Roman" w:hAnsi="Times New Roman"/>
          <w:i w:val="1"/>
          <w:iCs w:val="1"/>
          <w:sz w:val="24"/>
          <w:szCs w:val="24"/>
          <w:rtl w:val="0"/>
        </w:rPr>
        <w:t xml:space="preserve">Folk song style and culture</w:t>
      </w:r>
      <w:r w:rsidDel="00000000" w:rsidR="00000000" w:rsidRPr="00000000">
        <w:rPr>
          <w:rFonts w:ascii="Times New Roman" w:cs="Times New Roman" w:eastAsia="Times New Roman" w:hAnsi="Times New Roman"/>
          <w:sz w:val="24"/>
          <w:szCs w:val="24"/>
          <w:rtl w:val="0"/>
        </w:rPr>
        <w:t xml:space="preserve">. Transaction Publishers. </w:t>
      </w:r>
    </w:p>
    <w:p w:rsidR="00000000" w:rsidDel="00000000" w:rsidP="00000000" w:rsidRDefault="00000000" w:rsidRPr="00000000" w14:paraId="0000008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López-Cano, R. y San Cristóbal, Ú. (2014). </w:t>
      </w:r>
      <w:r w:rsidDel="00000000" w:rsidR="00000000" w:rsidRPr="00000000">
        <w:rPr>
          <w:rFonts w:ascii="Times New Roman" w:cs="Times New Roman" w:eastAsia="Times New Roman" w:hAnsi="Times New Roman"/>
          <w:i w:val="1"/>
          <w:iCs w:val="1"/>
          <w:sz w:val="24"/>
          <w:szCs w:val="24"/>
          <w:rtl w:val="0"/>
        </w:rPr>
        <w:t xml:space="preserve">Investigación artística en música: Problemas, métodos, experiencias y modelos</w:t>
      </w:r>
      <w:r w:rsidDel="00000000" w:rsidR="00000000" w:rsidRPr="00000000">
        <w:rPr>
          <w:rFonts w:ascii="Times New Roman" w:cs="Times New Roman" w:eastAsia="Times New Roman" w:hAnsi="Times New Roman"/>
          <w:sz w:val="24"/>
          <w:szCs w:val="24"/>
          <w:rtl w:val="0"/>
        </w:rPr>
        <w:t xml:space="preserve"> (Vol. 1). </w:t>
      </w:r>
    </w:p>
    <w:p w:rsidR="00000000" w:rsidDel="00000000" w:rsidP="00000000" w:rsidRDefault="00000000" w:rsidRPr="00000000" w14:paraId="0000008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Martínez, M. (2002). La música como existencia real: Conversación con Celso Garrido-Lecca. </w:t>
      </w:r>
      <w:r w:rsidDel="00000000" w:rsidR="00000000" w:rsidRPr="00000000">
        <w:rPr>
          <w:rFonts w:ascii="Times New Roman" w:cs="Times New Roman" w:eastAsia="Times New Roman" w:hAnsi="Times New Roman"/>
          <w:i w:val="1"/>
          <w:iCs w:val="1"/>
          <w:sz w:val="24"/>
          <w:szCs w:val="24"/>
          <w:rtl w:val="0"/>
        </w:rPr>
        <w:t xml:space="preserve">Lienzo</w:t>
      </w:r>
      <w:r w:rsidDel="00000000" w:rsidR="00000000" w:rsidRPr="00000000">
        <w:rPr>
          <w:rFonts w:ascii="Times New Roman" w:cs="Times New Roman" w:eastAsia="Times New Roman" w:hAnsi="Times New Roman"/>
          <w:sz w:val="24"/>
          <w:szCs w:val="24"/>
          <w:rtl w:val="0"/>
        </w:rPr>
        <w:t xml:space="preserve">, (23), 87-105. </w:t>
      </w:r>
    </w:p>
    <w:p w:rsidR="00000000" w:rsidDel="00000000" w:rsidP="00000000" w:rsidRDefault="00000000" w:rsidRPr="00000000" w14:paraId="0000008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Moretti, E. (2017). Imaginary folklore in Southeastern Moravia. En I. Přibylová &amp; L. Uhlíková (Eds.), </w:t>
      </w:r>
      <w:r w:rsidDel="00000000" w:rsidR="00000000" w:rsidRPr="00000000">
        <w:rPr>
          <w:rFonts w:ascii="Times New Roman" w:cs="Times New Roman" w:eastAsia="Times New Roman" w:hAnsi="Times New Roman"/>
          <w:i w:val="1"/>
          <w:iCs w:val="1"/>
          <w:sz w:val="24"/>
          <w:szCs w:val="24"/>
          <w:rtl w:val="0"/>
        </w:rPr>
        <w:t xml:space="preserve">Od folkloru k world music: Zrcadlení</w:t>
      </w:r>
      <w:r w:rsidDel="00000000" w:rsidR="00000000" w:rsidRPr="00000000">
        <w:rPr>
          <w:rFonts w:ascii="Times New Roman" w:cs="Times New Roman" w:eastAsia="Times New Roman" w:hAnsi="Times New Roman"/>
          <w:sz w:val="24"/>
          <w:szCs w:val="24"/>
          <w:rtl w:val="0"/>
        </w:rPr>
        <w:t xml:space="preserve"> (pp. 132–140). Městské kulturní středisko v Náměšti nad Oslavou.</w:t>
      </w:r>
    </w:p>
    <w:p w:rsidR="00000000" w:rsidDel="00000000" w:rsidP="00000000" w:rsidRDefault="00000000" w:rsidRPr="00000000" w14:paraId="00000089">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Nagore-Ferrer, M. (2004). El análisis musical, entre el formalismo y la hermenéutica. </w:t>
      </w:r>
      <w:r w:rsidDel="00000000" w:rsidR="00000000" w:rsidRPr="00000000">
        <w:rPr>
          <w:rFonts w:ascii="Times New Roman" w:cs="Times New Roman" w:eastAsia="Times New Roman" w:hAnsi="Times New Roman"/>
          <w:i w:val="1"/>
          <w:iCs w:val="1"/>
          <w:sz w:val="24"/>
          <w:szCs w:val="24"/>
          <w:rtl w:val="0"/>
        </w:rPr>
        <w:t xml:space="preserve">Músicas Al Sur.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Nattiez, J. J. (1987). </w:t>
      </w:r>
      <w:r w:rsidDel="00000000" w:rsidR="00000000" w:rsidRPr="00000000">
        <w:rPr>
          <w:rFonts w:ascii="Times New Roman" w:cs="Times New Roman" w:eastAsia="Times New Roman" w:hAnsi="Times New Roman"/>
          <w:i w:val="1"/>
          <w:iCs w:val="1"/>
          <w:sz w:val="24"/>
          <w:szCs w:val="24"/>
          <w:rtl w:val="0"/>
        </w:rPr>
        <w:t xml:space="preserve">Musicologie générale et sémiologie</w:t>
      </w:r>
      <w:r w:rsidDel="00000000" w:rsidR="00000000" w:rsidRPr="00000000">
        <w:rPr>
          <w:rFonts w:ascii="Times New Roman" w:cs="Times New Roman" w:eastAsia="Times New Roman" w:hAnsi="Times New Roman"/>
          <w:sz w:val="24"/>
          <w:szCs w:val="24"/>
          <w:rtl w:val="0"/>
        </w:rPr>
        <w:t xml:space="preserve">. Christian Bourgois. </w:t>
      </w:r>
    </w:p>
    <w:p w:rsidR="00000000" w:rsidDel="00000000" w:rsidP="00000000" w:rsidRDefault="00000000" w:rsidRPr="00000000" w14:paraId="0000008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Nava Balcázar, P., González-Arratia López-Fuentes, N. I., Gurrola Peña, G. M. y Moysén Chimal, A. (2013). </w:t>
      </w:r>
      <w:r w:rsidDel="00000000" w:rsidR="00000000" w:rsidRPr="00000000">
        <w:rPr>
          <w:rFonts w:ascii="Times New Roman" w:cs="Times New Roman" w:eastAsia="Times New Roman" w:hAnsi="Times New Roman"/>
          <w:i w:val="1"/>
          <w:iCs w:val="1"/>
          <w:sz w:val="24"/>
          <w:szCs w:val="24"/>
          <w:rtl w:val="0"/>
        </w:rPr>
        <w:t xml:space="preserve">Investigación cualitativa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Nettl, B. (2005). </w:t>
      </w:r>
      <w:r w:rsidDel="00000000" w:rsidR="00000000" w:rsidRPr="00000000">
        <w:rPr>
          <w:rFonts w:ascii="Times New Roman" w:cs="Times New Roman" w:eastAsia="Times New Roman" w:hAnsi="Times New Roman"/>
          <w:i w:val="1"/>
          <w:iCs w:val="1"/>
          <w:sz w:val="24"/>
          <w:szCs w:val="24"/>
          <w:rtl w:val="0"/>
        </w:rPr>
        <w:t xml:space="preserve">The study of ethnomusicology: Thirty-one issues and concepts</w:t>
      </w:r>
      <w:r w:rsidDel="00000000" w:rsidR="00000000" w:rsidRPr="00000000">
        <w:rPr>
          <w:rFonts w:ascii="Times New Roman" w:cs="Times New Roman" w:eastAsia="Times New Roman" w:hAnsi="Times New Roman"/>
          <w:sz w:val="24"/>
          <w:szCs w:val="24"/>
          <w:rtl w:val="0"/>
        </w:rPr>
        <w:t xml:space="preserve">. University of Illinois Press. </w:t>
      </w:r>
    </w:p>
    <w:p w:rsidR="00000000" w:rsidDel="00000000" w:rsidP="00000000" w:rsidRDefault="00000000" w:rsidRPr="00000000" w14:paraId="0000008D">
      <w:pPr>
        <w:spacing w:after="240" w:before="240"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Niño Vásquez, N. (2015). Gracias a la vida, Trío para un nuevo tiempo y el tercer período compositivo de Celso Garrido-Lecca. </w:t>
      </w:r>
      <w:r w:rsidDel="00000000" w:rsidR="00000000" w:rsidRPr="00000000">
        <w:rPr>
          <w:rFonts w:ascii="Times New Roman" w:cs="Times New Roman" w:eastAsia="Times New Roman" w:hAnsi="Times New Roman"/>
          <w:i w:val="1"/>
          <w:iCs w:val="1"/>
          <w:sz w:val="24"/>
          <w:szCs w:val="24"/>
          <w:rtl w:val="0"/>
        </w:rPr>
        <w:t xml:space="preserve">Revista Musical Chilena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69</w:t>
      </w:r>
      <w:r w:rsidDel="00000000" w:rsidR="00000000" w:rsidRPr="00000000">
        <w:rPr>
          <w:rFonts w:ascii="Times New Roman" w:cs="Times New Roman" w:eastAsia="Times New Roman" w:hAnsi="Times New Roman"/>
          <w:sz w:val="24"/>
          <w:szCs w:val="24"/>
          <w:rtl w:val="0"/>
        </w:rPr>
        <w:t xml:space="preserve">(223), 21-46. </w:t>
      </w:r>
      <w:hyperlink r:id="rId18">
        <w:r w:rsidDel="00000000" w:rsidR="00000000" w:rsidRPr="00000000">
          <w:rPr>
            <w:rFonts w:ascii="Times New Roman" w:cs="Times New Roman" w:eastAsia="Times New Roman" w:hAnsi="Times New Roman"/>
            <w:color w:val="1155cc"/>
            <w:sz w:val="24"/>
            <w:szCs w:val="24"/>
            <w:u w:val="single"/>
            <w:rtl w:val="0"/>
          </w:rPr>
          <w:t xml:space="preserve">https://doi.org/10.4067/S0716-27902015000100003</w:t>
        </w:r>
      </w:hyperlink>
      <w:r w:rsidDel="00000000" w:rsidR="00000000" w:rsidRPr="00000000">
        <w:rPr>
          <w:rtl w:val="0"/>
        </w:rPr>
      </w:r>
    </w:p>
    <w:p w:rsidR="00000000" w:rsidDel="00000000" w:rsidP="00000000" w:rsidRDefault="00000000" w:rsidRPr="00000000" w14:paraId="0000008E">
      <w:pPr>
        <w:spacing w:after="240" w:before="240"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Palmett Urzola, A. M. (2020). Métodos inductivo, deductivo y teoría de la pedagogía crítica. </w:t>
      </w:r>
      <w:r w:rsidDel="00000000" w:rsidR="00000000" w:rsidRPr="00000000">
        <w:rPr>
          <w:rFonts w:ascii="Times New Roman" w:cs="Times New Roman" w:eastAsia="Times New Roman" w:hAnsi="Times New Roman"/>
          <w:i w:val="1"/>
          <w:iCs w:val="1"/>
          <w:sz w:val="24"/>
          <w:szCs w:val="24"/>
          <w:rtl w:val="0"/>
        </w:rPr>
        <w:t xml:space="preserve">Revista Crítica Transdisciplinar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(1), 36-42. </w:t>
      </w:r>
      <w:r w:rsidDel="00000000" w:rsidR="00000000" w:rsidRPr="00000000">
        <w:rPr>
          <w:rtl w:val="0"/>
        </w:rPr>
      </w:r>
    </w:p>
    <w:p w:rsidR="00000000" w:rsidDel="00000000" w:rsidP="00000000" w:rsidRDefault="00000000" w:rsidRPr="00000000" w14:paraId="0000008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Petrozzi, C. (2010). Identidades en la música peruana del cambio de milenio: El caso de Circomper. </w:t>
      </w:r>
      <w:r w:rsidDel="00000000" w:rsidR="00000000" w:rsidRPr="00000000">
        <w:rPr>
          <w:rFonts w:ascii="Times New Roman" w:cs="Times New Roman" w:eastAsia="Times New Roman" w:hAnsi="Times New Roman"/>
          <w:i w:val="1"/>
          <w:iCs w:val="1"/>
          <w:sz w:val="24"/>
          <w:szCs w:val="24"/>
          <w:rtl w:val="0"/>
        </w:rPr>
        <w:t xml:space="preserve">Cuadernos de Música, Artes Visuales y Artes Escénicas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(2), 43-59. </w:t>
      </w:r>
    </w:p>
    <w:p w:rsidR="00000000" w:rsidDel="00000000" w:rsidP="00000000" w:rsidRDefault="00000000" w:rsidRPr="00000000" w14:paraId="00000090">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Petrozzi, C</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(2024). </w:t>
      </w:r>
      <w:r w:rsidDel="00000000" w:rsidR="00000000" w:rsidRPr="00000000">
        <w:rPr>
          <w:rFonts w:ascii="Times New Roman" w:cs="Times New Roman" w:eastAsia="Times New Roman" w:hAnsi="Times New Roman"/>
          <w:i w:val="1"/>
          <w:iCs w:val="1"/>
          <w:sz w:val="24"/>
          <w:szCs w:val="24"/>
          <w:rtl w:val="0"/>
        </w:rPr>
        <w:t xml:space="preserve">La música orquestal peruana 1945–2020</w:t>
      </w:r>
      <w:r w:rsidDel="00000000" w:rsidR="00000000" w:rsidRPr="00000000">
        <w:rPr>
          <w:rFonts w:ascii="Times New Roman" w:cs="Times New Roman" w:eastAsia="Times New Roman" w:hAnsi="Times New Roman"/>
          <w:sz w:val="24"/>
          <w:szCs w:val="24"/>
          <w:rtl w:val="0"/>
        </w:rPr>
        <w:t xml:space="preserve">. Universidad Nacional de Música, Instituto de Investigación.</w:t>
      </w:r>
    </w:p>
    <w:p w:rsidR="00000000" w:rsidDel="00000000" w:rsidP="00000000" w:rsidRDefault="00000000" w:rsidRPr="00000000" w14:paraId="00000091">
      <w:pPr>
        <w:spacing w:after="240" w:before="240"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Reyes, F. (2014). </w:t>
      </w:r>
      <w:r w:rsidDel="00000000" w:rsidR="00000000" w:rsidRPr="00000000">
        <w:rPr>
          <w:rFonts w:ascii="Times New Roman" w:cs="Times New Roman" w:eastAsia="Times New Roman" w:hAnsi="Times New Roman"/>
          <w:i w:val="1"/>
          <w:iCs w:val="1"/>
          <w:sz w:val="24"/>
          <w:szCs w:val="24"/>
          <w:rtl w:val="0"/>
        </w:rPr>
        <w:t xml:space="preserve">La simbología totémica del torito de Pucará</w:t>
      </w:r>
      <w:r w:rsidDel="00000000" w:rsidR="00000000" w:rsidRPr="00000000">
        <w:rPr>
          <w:rFonts w:ascii="Times New Roman" w:cs="Times New Roman" w:eastAsia="Times New Roman" w:hAnsi="Times New Roman"/>
          <w:sz w:val="24"/>
          <w:szCs w:val="24"/>
          <w:rtl w:val="0"/>
        </w:rPr>
        <w:t xml:space="preserve">. Arqueología del Perú. </w:t>
      </w:r>
      <w:hyperlink r:id="rId19">
        <w:r w:rsidDel="00000000" w:rsidR="00000000" w:rsidRPr="00000000">
          <w:rPr>
            <w:rFonts w:ascii="Times New Roman" w:cs="Times New Roman" w:eastAsia="Times New Roman" w:hAnsi="Times New Roman"/>
            <w:color w:val="1155cc"/>
            <w:sz w:val="24"/>
            <w:szCs w:val="24"/>
            <w:u w:val="single"/>
            <w:rtl w:val="0"/>
          </w:rPr>
          <w:t xml:space="preserve">https://www.arqueologiadelperu.com/la-simbologia-totemica-del-torito-de-pucara/?print=pdf</w:t>
        </w:r>
      </w:hyperlink>
      <w:r w:rsidDel="00000000" w:rsidR="00000000" w:rsidRPr="00000000">
        <w:rPr>
          <w:rtl w:val="0"/>
        </w:rPr>
      </w:r>
    </w:p>
    <w:p w:rsidR="00000000" w:rsidDel="00000000" w:rsidP="00000000" w:rsidRDefault="00000000" w:rsidRPr="00000000" w14:paraId="0000009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Roel Pineda, J</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(1990). </w:t>
      </w:r>
      <w:r w:rsidDel="00000000" w:rsidR="00000000" w:rsidRPr="00000000">
        <w:rPr>
          <w:rFonts w:ascii="Times New Roman" w:cs="Times New Roman" w:eastAsia="Times New Roman" w:hAnsi="Times New Roman"/>
          <w:i w:val="1"/>
          <w:iCs w:val="1"/>
          <w:sz w:val="24"/>
          <w:szCs w:val="24"/>
          <w:rtl w:val="0"/>
        </w:rPr>
        <w:t xml:space="preserve">El wayno de Cusco</w:t>
      </w:r>
      <w:r w:rsidDel="00000000" w:rsidR="00000000" w:rsidRPr="00000000">
        <w:rPr>
          <w:rFonts w:ascii="Times New Roman" w:cs="Times New Roman" w:eastAsia="Times New Roman" w:hAnsi="Times New Roman"/>
          <w:sz w:val="24"/>
          <w:szCs w:val="24"/>
          <w:rtl w:val="0"/>
        </w:rPr>
        <w:t xml:space="preserve">. Municipalidad de Qosqo. (Trabajo original publicado en 1959)</w:t>
      </w:r>
    </w:p>
    <w:p w:rsidR="00000000" w:rsidDel="00000000" w:rsidP="00000000" w:rsidRDefault="00000000" w:rsidRPr="00000000" w14:paraId="00000093">
      <w:pPr>
        <w:spacing w:after="240" w:before="240"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Sánchez Huaringa, C. D. S. (2015). Los primeros instrumentos musicales precolombinos: La flauta de pan andina o la “antara”. </w:t>
      </w:r>
      <w:r w:rsidDel="00000000" w:rsidR="00000000" w:rsidRPr="00000000">
        <w:rPr>
          <w:rFonts w:ascii="Times New Roman" w:cs="Times New Roman" w:eastAsia="Times New Roman" w:hAnsi="Times New Roman"/>
          <w:i w:val="1"/>
          <w:iCs w:val="1"/>
          <w:sz w:val="24"/>
          <w:szCs w:val="24"/>
          <w:rtl w:val="0"/>
        </w:rPr>
        <w:t xml:space="preserve">Arqueología y Sociedad</w:t>
      </w:r>
      <w:r w:rsidDel="00000000" w:rsidR="00000000" w:rsidRPr="00000000">
        <w:rPr>
          <w:rFonts w:ascii="Times New Roman" w:cs="Times New Roman" w:eastAsia="Times New Roman" w:hAnsi="Times New Roman"/>
          <w:sz w:val="24"/>
          <w:szCs w:val="24"/>
          <w:rtl w:val="0"/>
        </w:rPr>
        <w:t xml:space="preserve">, (29), 461–494. </w:t>
      </w:r>
      <w:hyperlink r:id="rId20">
        <w:r w:rsidDel="00000000" w:rsidR="00000000" w:rsidRPr="00000000">
          <w:rPr>
            <w:rFonts w:ascii="Times New Roman" w:cs="Times New Roman" w:eastAsia="Times New Roman" w:hAnsi="Times New Roman"/>
            <w:color w:val="1155cc"/>
            <w:sz w:val="24"/>
            <w:szCs w:val="24"/>
            <w:u w:val="single"/>
            <w:rtl w:val="0"/>
          </w:rPr>
          <w:t xml:space="preserve">https://doi.org/10.15381/arqueolsoc.2015n29.e12241</w:t>
        </w:r>
      </w:hyperlink>
      <w:r w:rsidDel="00000000" w:rsidR="00000000" w:rsidRPr="00000000">
        <w:rPr>
          <w:rtl w:val="0"/>
        </w:rPr>
      </w:r>
    </w:p>
    <w:p w:rsidR="00000000" w:rsidDel="00000000" w:rsidP="00000000" w:rsidRDefault="00000000" w:rsidRPr="00000000" w14:paraId="00000094">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Straus, J. N. (2016). </w:t>
      </w:r>
      <w:r w:rsidDel="00000000" w:rsidR="00000000" w:rsidRPr="00000000">
        <w:rPr>
          <w:rFonts w:ascii="Times New Roman" w:cs="Times New Roman" w:eastAsia="Times New Roman" w:hAnsi="Times New Roman"/>
          <w:i w:val="1"/>
          <w:iCs w:val="1"/>
          <w:sz w:val="24"/>
          <w:szCs w:val="24"/>
          <w:rtl w:val="0"/>
        </w:rPr>
        <w:t xml:space="preserve">Introduction to post-tonal theory</w:t>
      </w:r>
      <w:r w:rsidDel="00000000" w:rsidR="00000000" w:rsidRPr="00000000">
        <w:rPr>
          <w:rFonts w:ascii="Times New Roman" w:cs="Times New Roman" w:eastAsia="Times New Roman" w:hAnsi="Times New Roman"/>
          <w:sz w:val="24"/>
          <w:szCs w:val="24"/>
          <w:rtl w:val="0"/>
        </w:rPr>
        <w:t xml:space="preserve"> (4.ª ed.). W. W. Norton &amp; Company.</w:t>
      </w:r>
    </w:p>
    <w:p w:rsidR="00000000" w:rsidDel="00000000" w:rsidP="00000000" w:rsidRDefault="00000000" w:rsidRPr="00000000" w14:paraId="0000009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Tagg, P. (2018). </w:t>
      </w:r>
      <w:r w:rsidDel="00000000" w:rsidR="00000000" w:rsidRPr="00000000">
        <w:rPr>
          <w:rFonts w:ascii="Times New Roman" w:cs="Times New Roman" w:eastAsia="Times New Roman" w:hAnsi="Times New Roman"/>
          <w:i w:val="1"/>
          <w:iCs w:val="1"/>
          <w:sz w:val="24"/>
          <w:szCs w:val="24"/>
          <w:rtl w:val="0"/>
        </w:rPr>
        <w:t xml:space="preserve">Fernando the flute (IV)</w:t>
      </w:r>
      <w:r w:rsidDel="00000000" w:rsidR="00000000" w:rsidRPr="00000000">
        <w:rPr>
          <w:rFonts w:ascii="Times New Roman" w:cs="Times New Roman" w:eastAsia="Times New Roman" w:hAnsi="Times New Roman"/>
          <w:sz w:val="24"/>
          <w:szCs w:val="24"/>
          <w:rtl w:val="0"/>
        </w:rPr>
        <w:t xml:space="preserve"> (4th ed.). The Mass Media Music Scholars’ Press.</w:t>
      </w:r>
    </w:p>
    <w:p w:rsidR="00000000" w:rsidDel="00000000" w:rsidP="00000000" w:rsidRDefault="00000000" w:rsidRPr="00000000" w14:paraId="00000096">
      <w:pPr>
        <w:spacing w:after="240" w:before="240"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Tello, A. (2001). Antaras de Celso Garrido-Lecca o la perenne persistencia de la peruanidad. </w:t>
      </w:r>
      <w:r w:rsidDel="00000000" w:rsidR="00000000" w:rsidRPr="00000000">
        <w:rPr>
          <w:rFonts w:ascii="Times New Roman" w:cs="Times New Roman" w:eastAsia="Times New Roman" w:hAnsi="Times New Roman"/>
          <w:i w:val="1"/>
          <w:iCs w:val="1"/>
          <w:sz w:val="24"/>
          <w:szCs w:val="24"/>
          <w:rtl w:val="0"/>
        </w:rPr>
        <w:t xml:space="preserve">Revista Musical Chilena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55</w:t>
      </w:r>
      <w:r w:rsidDel="00000000" w:rsidR="00000000" w:rsidRPr="00000000">
        <w:rPr>
          <w:rFonts w:ascii="Times New Roman" w:cs="Times New Roman" w:eastAsia="Times New Roman" w:hAnsi="Times New Roman"/>
          <w:sz w:val="24"/>
          <w:szCs w:val="24"/>
          <w:rtl w:val="0"/>
        </w:rPr>
        <w:t xml:space="preserve">(196), 7–26. </w:t>
      </w:r>
      <w:hyperlink r:id="rId21">
        <w:r w:rsidDel="00000000" w:rsidR="00000000" w:rsidRPr="00000000">
          <w:rPr>
            <w:rFonts w:ascii="Times New Roman" w:cs="Times New Roman" w:eastAsia="Times New Roman" w:hAnsi="Times New Roman"/>
            <w:color w:val="1155cc"/>
            <w:sz w:val="24"/>
            <w:szCs w:val="24"/>
            <w:u w:val="single"/>
            <w:rtl w:val="0"/>
          </w:rPr>
          <w:t xml:space="preserve">https://doi.org/10.4067/S0716-27902001019600001</w:t>
        </w:r>
      </w:hyperlink>
      <w:r w:rsidDel="00000000" w:rsidR="00000000" w:rsidRPr="00000000">
        <w:rPr>
          <w:rtl w:val="0"/>
        </w:rPr>
      </w:r>
    </w:p>
    <w:p w:rsidR="00000000" w:rsidDel="00000000" w:rsidP="00000000" w:rsidRDefault="00000000" w:rsidRPr="00000000" w14:paraId="00000097">
      <w:pPr>
        <w:spacing w:after="240" w:before="240" w:line="276"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Toelken, B. (1996). </w:t>
      </w:r>
      <w:r w:rsidDel="00000000" w:rsidR="00000000" w:rsidRPr="00000000">
        <w:rPr>
          <w:rFonts w:ascii="Times New Roman" w:cs="Times New Roman" w:eastAsia="Times New Roman" w:hAnsi="Times New Roman"/>
          <w:i w:val="1"/>
          <w:iCs w:val="1"/>
          <w:sz w:val="24"/>
          <w:szCs w:val="24"/>
          <w:rtl w:val="0"/>
        </w:rPr>
        <w:t xml:space="preserve">The dynamics of folklore</w:t>
      </w:r>
      <w:r w:rsidDel="00000000" w:rsidR="00000000" w:rsidRPr="00000000">
        <w:rPr>
          <w:rFonts w:ascii="Times New Roman" w:cs="Times New Roman" w:eastAsia="Times New Roman" w:hAnsi="Times New Roman"/>
          <w:sz w:val="24"/>
          <w:szCs w:val="24"/>
          <w:rtl w:val="0"/>
        </w:rPr>
        <w:t xml:space="preserve">. Utah State University Press. </w:t>
      </w:r>
      <w:hyperlink r:id="rId22">
        <w:r w:rsidDel="00000000" w:rsidR="00000000" w:rsidRPr="00000000">
          <w:rPr>
            <w:rFonts w:ascii="Times New Roman" w:cs="Times New Roman" w:eastAsia="Times New Roman" w:hAnsi="Times New Roman"/>
            <w:color w:val="1155cc"/>
            <w:sz w:val="24"/>
            <w:szCs w:val="24"/>
            <w:u w:val="single"/>
            <w:rtl w:val="0"/>
          </w:rPr>
          <w:t xml:space="preserve">https://doi.org/10.2307/j.ctt46nrng</w:t>
        </w:r>
      </w:hyperlink>
      <w:r w:rsidDel="00000000" w:rsidR="00000000" w:rsidRPr="00000000">
        <w:rPr>
          <w:rtl w:val="0"/>
        </w:rPr>
      </w:r>
    </w:p>
    <w:p w:rsidR="00000000" w:rsidDel="00000000" w:rsidP="00000000" w:rsidRDefault="00000000" w:rsidRPr="00000000" w14:paraId="0000009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Treitler, L. (1982). The present as history. </w:t>
      </w:r>
      <w:r w:rsidDel="00000000" w:rsidR="00000000" w:rsidRPr="00000000">
        <w:rPr>
          <w:rFonts w:ascii="Times New Roman" w:cs="Times New Roman" w:eastAsia="Times New Roman" w:hAnsi="Times New Roman"/>
          <w:i w:val="1"/>
          <w:iCs w:val="1"/>
          <w:sz w:val="24"/>
          <w:szCs w:val="24"/>
          <w:rtl w:val="0"/>
        </w:rPr>
        <w:t xml:space="preserve">Musical Quarterly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68</w:t>
      </w:r>
      <w:r w:rsidDel="00000000" w:rsidR="00000000" w:rsidRPr="00000000">
        <w:rPr>
          <w:rFonts w:ascii="Times New Roman" w:cs="Times New Roman" w:eastAsia="Times New Roman" w:hAnsi="Times New Roman"/>
          <w:sz w:val="24"/>
          <w:szCs w:val="24"/>
          <w:rtl w:val="0"/>
        </w:rPr>
        <w:t xml:space="preserve">(2), 177–192.</w:t>
      </w:r>
    </w:p>
    <w:p w:rsidR="00000000" w:rsidDel="00000000" w:rsidP="00000000" w:rsidRDefault="00000000" w:rsidRPr="00000000" w14:paraId="00000099">
      <w:pPr>
        <w:spacing w:after="240" w:before="240"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Vega, Z. (2019). </w:t>
      </w:r>
      <w:r w:rsidDel="00000000" w:rsidR="00000000" w:rsidRPr="00000000">
        <w:rPr>
          <w:rFonts w:ascii="Times New Roman" w:cs="Times New Roman" w:eastAsia="Times New Roman" w:hAnsi="Times New Roman"/>
          <w:i w:val="1"/>
          <w:iCs w:val="1"/>
          <w:sz w:val="24"/>
          <w:szCs w:val="24"/>
          <w:rtl w:val="0"/>
        </w:rPr>
        <w:t xml:space="preserve">De la tristeza a la identidad: El yaraví peruano en las fuentes escritas de los siglos XVIII, XIX y XX </w:t>
      </w:r>
      <w:r w:rsidDel="00000000" w:rsidR="00000000" w:rsidRPr="00000000">
        <w:rPr>
          <w:rFonts w:ascii="Times New Roman" w:cs="Times New Roman" w:eastAsia="Times New Roman" w:hAnsi="Times New Roman"/>
          <w:sz w:val="24"/>
          <w:szCs w:val="24"/>
          <w:rtl w:val="0"/>
        </w:rPr>
        <w:t xml:space="preserve">[Tesis doctoral inédita, Universidad Nacional Autónoma de México]. </w:t>
      </w:r>
      <w:r w:rsidDel="00000000" w:rsidR="00000000" w:rsidRPr="00000000">
        <w:rPr>
          <w:rtl w:val="0"/>
        </w:rPr>
      </w:r>
    </w:p>
    <w:p w:rsidR="00000000" w:rsidDel="00000000" w:rsidP="00000000" w:rsidRDefault="00000000" w:rsidRPr="00000000" w14:paraId="0000009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Yep, V. (2018). “... Y hasta en el cielo, señor…” El tondero: Hacia una compresión de la dualidad del género. </w:t>
      </w:r>
      <w:r w:rsidDel="00000000" w:rsidR="00000000" w:rsidRPr="00000000">
        <w:rPr>
          <w:rFonts w:ascii="Times New Roman" w:cs="Times New Roman" w:eastAsia="Times New Roman" w:hAnsi="Times New Roman"/>
          <w:i w:val="1"/>
          <w:iCs w:val="1"/>
          <w:sz w:val="24"/>
          <w:szCs w:val="24"/>
          <w:rtl w:val="0"/>
        </w:rPr>
        <w:t xml:space="preserve">Antec: Revista Peruana de Investigación Musical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(2), 13–27. </w:t>
      </w:r>
      <w:hyperlink r:id="rId23">
        <w:r w:rsidDel="00000000" w:rsidR="00000000" w:rsidRPr="00000000">
          <w:rPr>
            <w:rFonts w:ascii="Times New Roman" w:cs="Times New Roman" w:eastAsia="Times New Roman" w:hAnsi="Times New Roman"/>
            <w:color w:val="1155cc"/>
            <w:sz w:val="24"/>
            <w:szCs w:val="24"/>
            <w:u w:val="single"/>
            <w:rtl w:val="0"/>
          </w:rPr>
          <w:t xml:space="preserve">https://doi.org/10.62230/antec.v2i2.44</w:t>
        </w:r>
      </w:hyperlink>
      <w:r w:rsidDel="00000000" w:rsidR="00000000" w:rsidRPr="00000000">
        <w:rPr>
          <w:rtl w:val="0"/>
        </w:rPr>
      </w:r>
    </w:p>
    <w:sectPr>
      <w:headerReference r:id="rId24" w:type="default"/>
      <w:headerReference r:id="rId25" w:type="first"/>
      <w:footerReference r:id="rId26" w:type="default"/>
      <w:footerReference r:id="rId27" w:type="first"/>
      <w:pgSz w:h="15840" w:w="12240" w:orient="portrait"/>
      <w:pgMar w:bottom="1440" w:top="1440" w:left="1440" w:right="1440" w:header="720" w:footer="72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Revista Antec" w:id="2" w:date="2026-05-04T15:30:21Z">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Indique el volumen y número de la revista a la que está postulando.</w:t>
      </w:r>
    </w:p>
  </w:comment>
  <w:comment w:author="Revista Antec" w:id="1" w:date="2026-05-04T15:32:50Z">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va sangría. Cada primer párrafo de cada sección no llevará sangría</w:t>
      </w:r>
    </w:p>
  </w:comment>
  <w:comment w:author="Revista Antec" w:id="4" w:date="2026-05-04T15:31:19Z">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Indique el volumen y número de la revista a la que está postulando.</w:t>
      </w:r>
    </w:p>
  </w:comment>
  <w:comment w:author="Revista Antec" w:id="3" w:date="2026-05-04T15:31:00Z">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Equipo Editorial lo completa.</w:t>
      </w:r>
    </w:p>
  </w:comment>
  <w:comment w:author="Revista Antec" w:id="0" w:date="2026-05-04T15:32:07Z">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Aquí, solo rellenar la fecha de recibido (fecha que entrega el artículo por la plataforma OJS)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Noto Sans Symbols ExtraLigh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spacing w:line="240" w:lineRule="auto"/>
      <w:jc w:val="both"/>
      <w:rPr>
        <w:rFonts w:ascii="Times New Roman" w:cs="Times New Roman" w:eastAsia="Times New Roman" w:hAnsi="Times New Roman"/>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commentRangeStart w:id="3"/>
    <w:r w:rsidDel="00000000" w:rsidR="00000000" w:rsidRPr="00000000">
      <w:rPr>
        <w:rtl w:val="0"/>
      </w:rPr>
    </w:r>
  </w:p>
  <w:p w:rsidR="00000000" w:rsidDel="00000000" w:rsidP="00000000" w:rsidRDefault="00000000" w:rsidRPr="00000000" w14:paraId="000000A2">
    <w:pPr>
      <w:spacing w:line="240" w:lineRule="auto"/>
      <w:jc w:val="both"/>
      <w:rPr>
        <w:rFonts w:ascii="Times New Roman" w:cs="Times New Roman" w:eastAsia="Times New Roman" w:hAnsi="Times New Roman"/>
        <w:sz w:val="20"/>
        <w:szCs w:val="20"/>
        <w:shd w:fill="ff9900" w:val="clear"/>
      </w:rPr>
    </w:pPr>
    <w:commentRangeEnd w:id="3"/>
    <w:r w:rsidDel="00000000" w:rsidR="00000000" w:rsidRPr="00000000">
      <w:commentReference w:id="3"/>
    </w:r>
    <w:r w:rsidDel="00000000" w:rsidR="00000000" w:rsidRPr="00000000">
      <w:rPr>
        <w:rFonts w:ascii="Times New Roman" w:cs="Times New Roman" w:eastAsia="Times New Roman" w:hAnsi="Times New Roman"/>
        <w:sz w:val="20"/>
        <w:szCs w:val="20"/>
        <w:rtl w:val="0"/>
      </w:rPr>
      <w:t xml:space="preserve">Como citar: Apellido, Letra del nombre. (2026). Título del artículo. </w:t>
    </w:r>
    <w:r w:rsidDel="00000000" w:rsidR="00000000" w:rsidRPr="00000000">
      <w:rPr>
        <w:rFonts w:ascii="Times New Roman" w:cs="Times New Roman" w:eastAsia="Times New Roman" w:hAnsi="Times New Roman"/>
        <w:i w:val="1"/>
        <w:iCs w:val="1"/>
        <w:sz w:val="20"/>
        <w:szCs w:val="20"/>
        <w:rtl w:val="0"/>
      </w:rPr>
      <w:t xml:space="preserve">ANTEC: Revista Peruana de Investigación Musical, </w:t>
    </w:r>
    <w:commentRangeStart w:id="4"/>
    <w:r w:rsidDel="00000000" w:rsidR="00000000" w:rsidRPr="00000000">
      <w:rPr>
        <w:rFonts w:ascii="Times New Roman" w:cs="Times New Roman" w:eastAsia="Times New Roman" w:hAnsi="Times New Roman"/>
        <w:i w:val="1"/>
        <w:iCs w:val="1"/>
        <w:sz w:val="20"/>
        <w:szCs w:val="20"/>
        <w:rtl w:val="0"/>
      </w:rPr>
      <w:t xml:space="preserve">10</w:t>
    </w:r>
    <w:r w:rsidDel="00000000" w:rsidR="00000000" w:rsidRPr="00000000">
      <w:rPr>
        <w:rFonts w:ascii="Times New Roman" w:cs="Times New Roman" w:eastAsia="Times New Roman" w:hAnsi="Times New Roman"/>
        <w:sz w:val="20"/>
        <w:szCs w:val="20"/>
        <w:rtl w:val="0"/>
      </w:rPr>
      <w:t xml:space="preserve">(1)</w:t>
    </w:r>
    <w:commentRangeEnd w:id="4"/>
    <w:r w:rsidDel="00000000" w:rsidR="00000000" w:rsidRPr="00000000">
      <w:commentReference w:id="4"/>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shd w:fill="ff9900" w:val="clear"/>
        <w:rtl w:val="0"/>
      </w:rPr>
      <w:t xml:space="preserve">xx-xx</w:t>
    </w:r>
    <w:r w:rsidDel="00000000" w:rsidR="00000000" w:rsidRPr="00000000">
      <w:rPr>
        <w:rFonts w:ascii="Times New Roman" w:cs="Times New Roman" w:eastAsia="Times New Roman" w:hAnsi="Times New Roman"/>
        <w:sz w:val="20"/>
        <w:szCs w:val="20"/>
        <w:rtl w:val="0"/>
      </w:rPr>
      <w:t xml:space="preserve">. </w:t>
    </w:r>
    <w:hyperlink r:id="rId1">
      <w:r w:rsidDel="00000000" w:rsidR="00000000" w:rsidRPr="00000000">
        <w:rPr>
          <w:rFonts w:ascii="Times New Roman" w:cs="Times New Roman" w:eastAsia="Times New Roman" w:hAnsi="Times New Roman"/>
          <w:sz w:val="20"/>
          <w:szCs w:val="20"/>
          <w:u w:val="single"/>
          <w:shd w:fill="ff9900" w:val="clear"/>
          <w:rtl w:val="0"/>
        </w:rPr>
        <w:t xml:space="preserve">https://doi.org/10.62230/antec.v9i1.267</w:t>
      </w:r>
    </w:hyperlink>
    <w:r w:rsidDel="00000000" w:rsidR="00000000" w:rsidRPr="00000000">
      <w:rPr>
        <w:rFonts w:ascii="Times New Roman" w:cs="Times New Roman" w:eastAsia="Times New Roman" w:hAnsi="Times New Roman"/>
        <w:sz w:val="20"/>
        <w:szCs w:val="20"/>
        <w:shd w:fill="ff9900" w:val="clear"/>
        <w:rtl w:val="0"/>
      </w:rPr>
      <w:t xml:space="preserve"> </w:t>
    </w:r>
    <w:r w:rsidDel="00000000" w:rsidR="00000000" w:rsidRPr="00000000">
      <w:rPr>
        <w:rtl w:val="0"/>
      </w:rPr>
    </w:r>
  </w:p>
  <w:p w:rsidR="00000000" w:rsidDel="00000000" w:rsidP="00000000" w:rsidRDefault="00000000" w:rsidRPr="00000000" w14:paraId="000000A3">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4">
    <w:pPr>
      <w:spacing w:line="240" w:lineRule="auto"/>
      <w:jc w:val="both"/>
      <w:rPr>
        <w:rFonts w:ascii="Times New Roman" w:cs="Times New Roman" w:eastAsia="Times New Roman" w:hAnsi="Times New Roman"/>
        <w:color w:val="1155cc"/>
        <w:sz w:val="20"/>
        <w:szCs w:val="20"/>
        <w:shd w:fill="ff9900" w:val="clear"/>
      </w:rPr>
    </w:pPr>
    <w:r w:rsidDel="00000000" w:rsidR="00000000" w:rsidRPr="00000000">
      <w:rPr>
        <w:rFonts w:ascii="Times New Roman" w:cs="Times New Roman" w:eastAsia="Times New Roman" w:hAnsi="Times New Roman"/>
        <w:sz w:val="20"/>
        <w:szCs w:val="20"/>
        <w:rtl w:val="0"/>
      </w:rPr>
      <w:t xml:space="preserve">Link para este artículo:</w:t>
    </w:r>
    <w:r w:rsidDel="00000000" w:rsidR="00000000" w:rsidRPr="00000000">
      <w:rPr>
        <w:rFonts w:ascii="Times New Roman" w:cs="Times New Roman" w:eastAsia="Times New Roman" w:hAnsi="Times New Roman"/>
        <w:sz w:val="20"/>
        <w:szCs w:val="20"/>
        <w:shd w:fill="ff9900" w:val="clear"/>
        <w:rtl w:val="0"/>
      </w:rPr>
      <w:t xml:space="preserve"> </w:t>
    </w:r>
    <w:hyperlink r:id="rId2">
      <w:r w:rsidDel="00000000" w:rsidR="00000000" w:rsidRPr="00000000">
        <w:rPr>
          <w:rFonts w:ascii="Times New Roman" w:cs="Times New Roman" w:eastAsia="Times New Roman" w:hAnsi="Times New Roman"/>
          <w:color w:val="1155cc"/>
          <w:sz w:val="20"/>
          <w:szCs w:val="20"/>
          <w:u w:val="single"/>
          <w:shd w:fill="ff9900" w:val="clear"/>
          <w:rtl w:val="0"/>
        </w:rPr>
        <w:t xml:space="preserve">https://doi.org/10.62230/antec.v9i2.289</w:t>
      </w:r>
    </w:hyperlink>
    <w:r w:rsidDel="00000000" w:rsidR="00000000" w:rsidRPr="00000000">
      <w:rPr>
        <w:rtl w:val="0"/>
      </w:rPr>
    </w:r>
  </w:p>
  <w:p w:rsidR="00000000" w:rsidDel="00000000" w:rsidP="00000000" w:rsidRDefault="00000000" w:rsidRPr="00000000" w14:paraId="000000A5">
    <w:pPr>
      <w:spacing w:line="240" w:lineRule="auto"/>
      <w:jc w:val="both"/>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-76196</wp:posOffset>
          </wp:positionH>
          <wp:positionV relativeFrom="paragraph">
            <wp:posOffset>126988</wp:posOffset>
          </wp:positionV>
          <wp:extent cx="804863" cy="313432"/>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804863" cy="313432"/>
                  </a:xfrm>
                  <a:prstGeom prst="rect"/>
                  <a:ln/>
                </pic:spPr>
              </pic:pic>
            </a:graphicData>
          </a:graphic>
        </wp:anchor>
      </w:drawing>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B">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En el contexto de los videojuegos, </w:t>
      </w:r>
      <w:r w:rsidDel="00000000" w:rsidR="00000000" w:rsidRPr="00000000">
        <w:rPr>
          <w:rFonts w:ascii="Times New Roman" w:cs="Times New Roman" w:eastAsia="Times New Roman" w:hAnsi="Times New Roman"/>
          <w:i w:val="1"/>
          <w:iCs w:val="1"/>
          <w:sz w:val="20"/>
          <w:szCs w:val="20"/>
          <w:rtl w:val="0"/>
        </w:rPr>
        <w:t xml:space="preserve">soundtrack</w:t>
      </w:r>
      <w:r w:rsidDel="00000000" w:rsidR="00000000" w:rsidRPr="00000000">
        <w:rPr>
          <w:rFonts w:ascii="Times New Roman" w:cs="Times New Roman" w:eastAsia="Times New Roman" w:hAnsi="Times New Roman"/>
          <w:sz w:val="20"/>
          <w:szCs w:val="20"/>
          <w:rtl w:val="0"/>
        </w:rPr>
        <w:t xml:space="preserve"> se refiere al conjunto de piezas musicales compuestas o seleccionadas para acompañar y articular la experiencia de juego. Aunque en castellano se podría traducir como </w:t>
      </w:r>
      <w:r w:rsidDel="00000000" w:rsidR="00000000" w:rsidRPr="00000000">
        <w:rPr>
          <w:rFonts w:ascii="Times New Roman" w:cs="Times New Roman" w:eastAsia="Times New Roman" w:hAnsi="Times New Roman"/>
          <w:i w:val="1"/>
          <w:iCs w:val="1"/>
          <w:sz w:val="20"/>
          <w:szCs w:val="20"/>
          <w:rtl w:val="0"/>
        </w:rPr>
        <w:t xml:space="preserve">banda sonora</w:t>
      </w:r>
      <w:r w:rsidDel="00000000" w:rsidR="00000000" w:rsidRPr="00000000">
        <w:rPr>
          <w:rFonts w:ascii="Times New Roman" w:cs="Times New Roman" w:eastAsia="Times New Roman" w:hAnsi="Times New Roman"/>
          <w:sz w:val="20"/>
          <w:szCs w:val="20"/>
          <w:rtl w:val="0"/>
        </w:rPr>
        <w:t xml:space="preserve">, he elegido usar el término en inglés por su extensión en la industria global del videojuego y porque abarca tanto música original como recopilada, evitando ambigüedades terminológicas.</w:t>
      </w:r>
    </w:p>
  </w:footnote>
  <w:footnote w:id="1">
    <w:p w:rsidR="00000000" w:rsidDel="00000000" w:rsidP="00000000" w:rsidRDefault="00000000" w:rsidRPr="00000000" w14:paraId="000000A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bCs w:val="1"/>
          <w:sz w:val="20"/>
          <w:szCs w:val="20"/>
          <w:rtl w:val="0"/>
        </w:rPr>
        <w:t xml:space="preserve">Amor con interés:</w:t>
      </w:r>
      <w:r w:rsidDel="00000000" w:rsidR="00000000" w:rsidRPr="00000000">
        <w:rPr>
          <w:rFonts w:ascii="Times New Roman" w:cs="Times New Roman" w:eastAsia="Times New Roman" w:hAnsi="Times New Roman"/>
          <w:sz w:val="20"/>
          <w:szCs w:val="20"/>
          <w:rtl w:val="0"/>
        </w:rPr>
        <w:t xml:space="preserve"> </w:t>
      </w:r>
      <w:hyperlink r:id="rId1">
        <w:r w:rsidDel="00000000" w:rsidR="00000000" w:rsidRPr="00000000">
          <w:rPr>
            <w:rFonts w:ascii="Times New Roman" w:cs="Times New Roman" w:eastAsia="Times New Roman" w:hAnsi="Times New Roman"/>
            <w:color w:val="1155cc"/>
            <w:sz w:val="20"/>
            <w:szCs w:val="20"/>
            <w:u w:val="single"/>
            <w:rtl w:val="0"/>
          </w:rPr>
          <w:t xml:space="preserve">https://onedrive.live.com/?redeem=aHR0cHM6Ly8xZHJ2Lm1zL3UvcyFBbG1sT1VaNFdLMHdqQldEVnhZVlhVOHROb2VtP2U9aWVoNlky&amp;cid=30AD58784639A559&amp;id=30AD58784639A559%211557&amp;parId=30AD58784639A559%211522&amp;o=OneUp</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spacing w:line="240" w:lineRule="auto"/>
      <w:jc w:val="right"/>
      <w:rPr>
        <w:rFonts w:ascii="Calibri" w:cs="Calibri" w:eastAsia="Calibri" w:hAnsi="Calibri"/>
      </w:rPr>
    </w:pPr>
    <w:r w:rsidDel="00000000" w:rsidR="00000000" w:rsidRPr="00000000">
      <w:rPr>
        <w:rFonts w:ascii="Noto Sans Symbols ExtraLight" w:cs="Noto Sans Symbols ExtraLight" w:eastAsia="Noto Sans Symbols ExtraLight" w:hAnsi="Noto Sans Symbols ExtraLight"/>
        <w:i w:val="1"/>
        <w:iCs w:val="1"/>
        <w:sz w:val="16"/>
        <w:szCs w:val="16"/>
        <w:rtl w:val="0"/>
      </w:rPr>
      <w:t xml:space="preserve">ANTEC: Revista Peruana de Investigación Musical ,</w:t>
    </w:r>
    <w:r w:rsidDel="00000000" w:rsidR="00000000" w:rsidRPr="00000000">
      <w:rPr>
        <w:rFonts w:ascii="Noto Sans Symbols ExtraLight" w:cs="Noto Sans Symbols ExtraLight" w:eastAsia="Noto Sans Symbols ExtraLight" w:hAnsi="Noto Sans Symbols ExtraLight"/>
        <w:sz w:val="16"/>
        <w:szCs w:val="16"/>
        <w:rtl w:val="0"/>
      </w:rPr>
      <w:t xml:space="preserve"> Vol. 10, N° 1, enero-junio, 2026.</w:t>
    </w:r>
    <w:r w:rsidDel="00000000" w:rsidR="00000000" w:rsidRPr="00000000">
      <w:rPr>
        <w:rFonts w:ascii="Noto Sans Symbols ExtraLight" w:cs="Noto Sans Symbols ExtraLight" w:eastAsia="Noto Sans Symbols ExtraLight" w:hAnsi="Noto Sans Symbols ExtraLight"/>
        <w:i w:val="1"/>
        <w:iCs w:val="1"/>
        <w:sz w:val="16"/>
        <w:szCs w:val="16"/>
        <w:rtl w:val="0"/>
      </w:rPr>
      <w:t xml:space="preserve"> </w:t>
    </w:r>
    <w:r w:rsidDel="00000000" w:rsidR="00000000" w:rsidRPr="00000000">
      <w:rPr>
        <w:rFonts w:ascii="Noto Sans Symbols ExtraLight" w:cs="Noto Sans Symbols ExtraLight" w:eastAsia="Noto Sans Symbols ExtraLight" w:hAnsi="Noto Sans Symbols ExtraLight"/>
        <w:sz w:val="16"/>
        <w:szCs w:val="16"/>
        <w:rtl w:val="0"/>
      </w:rPr>
      <w:t xml:space="preserve">ISSN: 2521-8565/ E-ISSN: 2616-681X</w:t>
    </w: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40" w:lineRule="auto"/>
      <w:jc w:val="right"/>
      <w:rPr>
        <w:rFonts w:ascii="Calibri" w:cs="Calibri" w:eastAsia="Calibri" w:hAnsi="Calibri"/>
      </w:rPr>
    </w:pPr>
    <w:r w:rsidDel="00000000" w:rsidR="00000000" w:rsidRPr="00000000">
      <w:rPr>
        <w:rFonts w:ascii="Noto Sans Symbols ExtraLight" w:cs="Noto Sans Symbols ExtraLight" w:eastAsia="Noto Sans Symbols ExtraLight" w:hAnsi="Noto Sans Symbols ExtraLight"/>
        <w:i w:val="1"/>
        <w:iCs w:val="1"/>
        <w:sz w:val="16"/>
        <w:szCs w:val="16"/>
        <w:rtl w:val="0"/>
      </w:rPr>
      <w:t xml:space="preserve">ANTEC: Revista Peruana de Investigación Musical ,</w:t>
    </w:r>
    <w:r w:rsidDel="00000000" w:rsidR="00000000" w:rsidRPr="00000000">
      <w:rPr>
        <w:rFonts w:ascii="Noto Sans Symbols ExtraLight" w:cs="Noto Sans Symbols ExtraLight" w:eastAsia="Noto Sans Symbols ExtraLight" w:hAnsi="Noto Sans Symbols ExtraLight"/>
        <w:sz w:val="16"/>
        <w:szCs w:val="16"/>
        <w:rtl w:val="0"/>
      </w:rPr>
      <w:t xml:space="preserve"> </w:t>
    </w:r>
    <w:commentRangeStart w:id="2"/>
    <w:r w:rsidDel="00000000" w:rsidR="00000000" w:rsidRPr="00000000">
      <w:rPr>
        <w:rFonts w:ascii="Noto Sans Symbols ExtraLight" w:cs="Noto Sans Symbols ExtraLight" w:eastAsia="Noto Sans Symbols ExtraLight" w:hAnsi="Noto Sans Symbols ExtraLight"/>
        <w:sz w:val="16"/>
        <w:szCs w:val="16"/>
        <w:rtl w:val="0"/>
      </w:rPr>
      <w:t xml:space="preserve">Vol. 10, N° 1, enero-junio, 2026.</w:t>
    </w:r>
    <w:r w:rsidDel="00000000" w:rsidR="00000000" w:rsidRPr="00000000">
      <w:rPr>
        <w:rFonts w:ascii="Noto Sans Symbols ExtraLight" w:cs="Noto Sans Symbols ExtraLight" w:eastAsia="Noto Sans Symbols ExtraLight" w:hAnsi="Noto Sans Symbols ExtraLight"/>
        <w:i w:val="1"/>
        <w:iCs w:val="1"/>
        <w:sz w:val="16"/>
        <w:szCs w:val="16"/>
        <w:rtl w:val="0"/>
      </w:rPr>
      <w:t xml:space="preserve"> </w:t>
    </w:r>
    <w:r w:rsidDel="00000000" w:rsidR="00000000" w:rsidRPr="00000000">
      <w:rPr>
        <w:rFonts w:ascii="Noto Sans Symbols ExtraLight" w:cs="Noto Sans Symbols ExtraLight" w:eastAsia="Noto Sans Symbols ExtraLight" w:hAnsi="Noto Sans Symbols ExtraLight"/>
        <w:sz w:val="16"/>
        <w:szCs w:val="16"/>
        <w:rtl w:val="0"/>
      </w:rPr>
      <w:t xml:space="preserve">I</w:t>
    </w:r>
    <w:commentRangeEnd w:id="2"/>
    <w:r w:rsidDel="00000000" w:rsidR="00000000" w:rsidRPr="00000000">
      <w:commentReference w:id="2"/>
    </w:r>
    <w:r w:rsidDel="00000000" w:rsidR="00000000" w:rsidRPr="00000000">
      <w:rPr>
        <w:rFonts w:ascii="Noto Sans Symbols ExtraLight" w:cs="Noto Sans Symbols ExtraLight" w:eastAsia="Noto Sans Symbols ExtraLight" w:hAnsi="Noto Sans Symbols ExtraLight"/>
        <w:sz w:val="16"/>
        <w:szCs w:val="16"/>
        <w:rtl w:val="0"/>
      </w:rPr>
      <w:t xml:space="preserve">SSN: 2521-8565/ E-ISSN: 2616-681X</w:t>
    </w: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MX"/>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5381/arqueolsoc.2015n29.e12241" TargetMode="External"/><Relationship Id="rId22" Type="http://schemas.openxmlformats.org/officeDocument/2006/relationships/hyperlink" Target="https://doi.org/10.2307/j.ctt46nrng" TargetMode="External"/><Relationship Id="rId21" Type="http://schemas.openxmlformats.org/officeDocument/2006/relationships/hyperlink" Target="https://doi.org/10.4067/S0716-27902001019600001" TargetMode="External"/><Relationship Id="rId24" Type="http://schemas.openxmlformats.org/officeDocument/2006/relationships/header" Target="header1.xml"/><Relationship Id="rId23" Type="http://schemas.openxmlformats.org/officeDocument/2006/relationships/hyperlink" Target="https://doi.org/10.62230/antec.v2i2.44"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26" Type="http://schemas.openxmlformats.org/officeDocument/2006/relationships/footer" Target="footer1.xml"/><Relationship Id="rId25" Type="http://schemas.openxmlformats.org/officeDocument/2006/relationships/header" Target="header2.xml"/><Relationship Id="rId27" Type="http://schemas.openxmlformats.org/officeDocument/2006/relationships/footer" Target="footer2.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image" Target="media/image1.png"/><Relationship Id="rId11" Type="http://schemas.openxmlformats.org/officeDocument/2006/relationships/hyperlink" Target="https://1drv.ms/u/s!AlmlOUZ4WK0wjBWDVxYVXU8tNoem?e=ieh6Y2" TargetMode="External"/><Relationship Id="rId10" Type="http://schemas.openxmlformats.org/officeDocument/2006/relationships/image" Target="media/image3.png"/><Relationship Id="rId13" Type="http://schemas.openxmlformats.org/officeDocument/2006/relationships/hyperlink" Target="https://doi.org/10.33326/26176041.2017.6.416" TargetMode="External"/><Relationship Id="rId12" Type="http://schemas.openxmlformats.org/officeDocument/2006/relationships/hyperlink" Target="https://doi.org/10.1111/j.0262-5245.2004.00204.x" TargetMode="External"/><Relationship Id="rId15" Type="http://schemas.openxmlformats.org/officeDocument/2006/relationships/hyperlink" Target="https://books.google.com.pe/books/about/A_Guide_to_Musical_Analysis.html?id=wwKreRHGoVUC&amp;redir_esc=y" TargetMode="External"/><Relationship Id="rId14" Type="http://schemas.openxmlformats.org/officeDocument/2006/relationships/hyperlink" Target="https://doi.org/10.5038/2157-5231.4.7.15" TargetMode="External"/><Relationship Id="rId17" Type="http://schemas.openxmlformats.org/officeDocument/2006/relationships/hyperlink" Target="https://repository.eafit.edu.co/items/639bdf56-4565-40e9-b854-128f6ebcf4ee" TargetMode="External"/><Relationship Id="rId16" Type="http://schemas.openxmlformats.org/officeDocument/2006/relationships/hyperlink" Target="https://doi.org/10.2307/538252" TargetMode="External"/><Relationship Id="rId19" Type="http://schemas.openxmlformats.org/officeDocument/2006/relationships/hyperlink" Target="https://www.arqueologiadelperu.com/la-simbologia-totemica-del-torito-de-pucara/?print=pdf" TargetMode="External"/><Relationship Id="rId18" Type="http://schemas.openxmlformats.org/officeDocument/2006/relationships/hyperlink" Target="https://doi.org/10.4067/S0716-2790201500010000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ExtraLight-regular.ttf"/><Relationship Id="rId2" Type="http://schemas.openxmlformats.org/officeDocument/2006/relationships/font" Target="fonts/NotoSansSymbolsExtraLight-bold.ttf"/></Relationships>
</file>

<file path=word/_rels/footer2.xml.rels><?xml version="1.0" encoding="UTF-8" standalone="yes"?><Relationships xmlns="http://schemas.openxmlformats.org/package/2006/relationships"><Relationship Id="rId1" Type="http://schemas.openxmlformats.org/officeDocument/2006/relationships/hyperlink" Target="https://doi.org/10.62230/antec.v9i1.267" TargetMode="External"/><Relationship Id="rId2" Type="http://schemas.openxmlformats.org/officeDocument/2006/relationships/hyperlink" Target="https://doi.org/10.62230/antec.v9i2.289" TargetMode="External"/><Relationship Id="rId3"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onedrive.live.com/?redeem=aHR0cHM6Ly8xZHJ2Lm1zL3UvcyFBbG1sT1VaNFdLMHdqQldEVnhZVlhVOHROb2VtP2U9aWVoNlky&amp;cid=30AD58784639A559&amp;id=30AD58784639A559%211557&amp;parId=30AD58784639A559%211522&amp;o=One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