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3A9648" w14:textId="77777777" w:rsidR="002360C3" w:rsidRDefault="00000000">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Hugo Armando Espitia Romero</w:t>
      </w:r>
    </w:p>
    <w:p w14:paraId="65A43806" w14:textId="77777777" w:rsidR="002360C3" w:rsidRDefault="00000000">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(Bogotá, 1985 )</w:t>
      </w:r>
    </w:p>
    <w:p w14:paraId="68061F49" w14:textId="77777777" w:rsidR="002360C3" w:rsidRDefault="002360C3">
      <w:pPr>
        <w:spacing w:line="276" w:lineRule="auto"/>
        <w:jc w:val="both"/>
        <w:rPr>
          <w:rFonts w:ascii="Times New Roman" w:eastAsia="Times New Roman" w:hAnsi="Times New Roman" w:cs="Times New Roman"/>
          <w:b/>
          <w:bCs/>
        </w:rPr>
      </w:pPr>
    </w:p>
    <w:p w14:paraId="4DEB1CF1"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Compositor, actualmente docente en la Escuela de Música y Audio Fernando Sor. Maestro en Música de la Universidad INCCA de Colombia. En el año 2023 recibe el título de  Magíster en Composición </w:t>
      </w:r>
      <w:r>
        <w:rPr>
          <w:rFonts w:ascii="Times New Roman" w:eastAsia="Times New Roman" w:hAnsi="Times New Roman" w:cs="Times New Roman"/>
          <w:i/>
          <w:iCs/>
        </w:rPr>
        <w:t xml:space="preserve">Summa Cum Laude </w:t>
      </w:r>
      <w:r>
        <w:rPr>
          <w:rFonts w:ascii="Times New Roman" w:eastAsia="Times New Roman" w:hAnsi="Times New Roman" w:cs="Times New Roman"/>
        </w:rPr>
        <w:t>de la Pontificia Universidad Javeriana con su trabajo de grado, </w:t>
      </w:r>
      <w:r>
        <w:rPr>
          <w:rFonts w:ascii="Times New Roman" w:eastAsia="Times New Roman" w:hAnsi="Times New Roman" w:cs="Times New Roman"/>
          <w:i/>
          <w:iCs/>
        </w:rPr>
        <w:t>Inmortal: del mito a la música, seis piezas para Big Band</w:t>
      </w:r>
      <w:r>
        <w:rPr>
          <w:rFonts w:ascii="Times New Roman" w:eastAsia="Times New Roman" w:hAnsi="Times New Roman" w:cs="Times New Roman"/>
        </w:rPr>
        <w:t xml:space="preserve">. En la actualidad es candidato a Doctor en Historia y Artes de la Universidad de Granada. Tiene veinte años de experiencia docente en teoría musical y composición y arreglos para música moderna. Ha sido ganador por el mejor cuarteto del V Festival de Jazz Villa de Leyva (2015). Participó en el </w:t>
      </w:r>
      <w:r w:rsidRPr="00F24E28">
        <w:rPr>
          <w:rFonts w:ascii="Times New Roman" w:eastAsia="Times New Roman" w:hAnsi="Times New Roman" w:cs="Times New Roman"/>
          <w:i/>
          <w:iCs/>
        </w:rPr>
        <w:t>Japan International Choral Composition Competition</w:t>
      </w:r>
      <w:r>
        <w:rPr>
          <w:rFonts w:ascii="Times New Roman" w:eastAsia="Times New Roman" w:hAnsi="Times New Roman" w:cs="Times New Roman"/>
        </w:rPr>
        <w:t xml:space="preserve"> (2024) y en </w:t>
      </w:r>
      <w:r w:rsidRPr="00F24E28">
        <w:rPr>
          <w:rFonts w:ascii="Times New Roman" w:eastAsia="Times New Roman" w:hAnsi="Times New Roman" w:cs="Times New Roman"/>
          <w:i/>
          <w:iCs/>
        </w:rPr>
        <w:t xml:space="preserve">The Matan Givol International Composers Competition </w:t>
      </w:r>
      <w:r>
        <w:rPr>
          <w:rFonts w:ascii="Times New Roman" w:eastAsia="Times New Roman" w:hAnsi="Times New Roman" w:cs="Times New Roman"/>
        </w:rPr>
        <w:t xml:space="preserve">con la obra </w:t>
      </w:r>
      <w:r>
        <w:rPr>
          <w:rFonts w:ascii="Times New Roman" w:eastAsia="Times New Roman" w:hAnsi="Times New Roman" w:cs="Times New Roman"/>
          <w:i/>
          <w:iCs/>
        </w:rPr>
        <w:t>White Aurora</w:t>
      </w:r>
      <w:r>
        <w:rPr>
          <w:rFonts w:ascii="Times New Roman" w:eastAsia="Times New Roman" w:hAnsi="Times New Roman" w:cs="Times New Roman"/>
        </w:rPr>
        <w:t xml:space="preserve"> (2024).</w:t>
      </w:r>
    </w:p>
    <w:p w14:paraId="4FC23931" w14:textId="77777777" w:rsidR="002360C3" w:rsidRDefault="002360C3">
      <w:pPr>
        <w:spacing w:line="276" w:lineRule="auto"/>
        <w:ind w:left="708"/>
        <w:jc w:val="both"/>
        <w:rPr>
          <w:rFonts w:ascii="Times New Roman" w:eastAsia="Times New Roman" w:hAnsi="Times New Roman" w:cs="Times New Roman"/>
        </w:rPr>
      </w:pPr>
    </w:p>
    <w:p w14:paraId="6918FF5D" w14:textId="77777777" w:rsidR="002360C3" w:rsidRDefault="002360C3">
      <w:pPr>
        <w:spacing w:line="276" w:lineRule="auto"/>
        <w:jc w:val="both"/>
        <w:rPr>
          <w:rFonts w:ascii="Times New Roman" w:eastAsia="Times New Roman" w:hAnsi="Times New Roman" w:cs="Times New Roman"/>
          <w:b/>
          <w:bCs/>
        </w:rPr>
      </w:pPr>
    </w:p>
    <w:p w14:paraId="7F098892" w14:textId="77777777" w:rsidR="002360C3" w:rsidRDefault="002360C3">
      <w:pPr>
        <w:spacing w:line="276" w:lineRule="auto"/>
        <w:jc w:val="both"/>
        <w:rPr>
          <w:rFonts w:ascii="Times New Roman" w:eastAsia="Times New Roman" w:hAnsi="Times New Roman" w:cs="Times New Roman"/>
          <w:b/>
          <w:bCs/>
        </w:rPr>
      </w:pPr>
    </w:p>
    <w:p w14:paraId="2BC9378F" w14:textId="77777777" w:rsidR="002360C3" w:rsidRDefault="002360C3">
      <w:pPr>
        <w:spacing w:line="276" w:lineRule="auto"/>
        <w:jc w:val="both"/>
        <w:rPr>
          <w:rFonts w:ascii="Times New Roman" w:eastAsia="Times New Roman" w:hAnsi="Times New Roman" w:cs="Times New Roman"/>
          <w:b/>
          <w:bCs/>
        </w:rPr>
      </w:pPr>
    </w:p>
    <w:p w14:paraId="61653FCA" w14:textId="77777777" w:rsidR="002360C3" w:rsidRDefault="002360C3">
      <w:pPr>
        <w:spacing w:line="276" w:lineRule="auto"/>
        <w:jc w:val="both"/>
        <w:rPr>
          <w:rFonts w:ascii="Times New Roman" w:eastAsia="Times New Roman" w:hAnsi="Times New Roman" w:cs="Times New Roman"/>
          <w:b/>
          <w:bCs/>
        </w:rPr>
      </w:pPr>
    </w:p>
    <w:p w14:paraId="044D163B" w14:textId="77777777" w:rsidR="002360C3" w:rsidRDefault="002360C3">
      <w:pPr>
        <w:spacing w:line="276" w:lineRule="auto"/>
        <w:jc w:val="both"/>
        <w:rPr>
          <w:rFonts w:ascii="Times New Roman" w:eastAsia="Times New Roman" w:hAnsi="Times New Roman" w:cs="Times New Roman"/>
          <w:b/>
          <w:bCs/>
        </w:rPr>
      </w:pPr>
    </w:p>
    <w:p w14:paraId="1C5A93DA" w14:textId="77777777" w:rsidR="002360C3" w:rsidRDefault="002360C3">
      <w:pPr>
        <w:spacing w:line="276" w:lineRule="auto"/>
        <w:jc w:val="both"/>
        <w:rPr>
          <w:rFonts w:ascii="Times New Roman" w:eastAsia="Times New Roman" w:hAnsi="Times New Roman" w:cs="Times New Roman"/>
          <w:b/>
          <w:bCs/>
        </w:rPr>
      </w:pPr>
    </w:p>
    <w:p w14:paraId="59E6D16F" w14:textId="77777777" w:rsidR="002360C3" w:rsidRDefault="002360C3">
      <w:pPr>
        <w:spacing w:line="276" w:lineRule="auto"/>
        <w:jc w:val="both"/>
        <w:rPr>
          <w:rFonts w:ascii="Times New Roman" w:eastAsia="Times New Roman" w:hAnsi="Times New Roman" w:cs="Times New Roman"/>
          <w:b/>
          <w:bCs/>
        </w:rPr>
      </w:pPr>
    </w:p>
    <w:p w14:paraId="06FD74DB" w14:textId="77777777" w:rsidR="002360C3" w:rsidRDefault="002360C3">
      <w:pPr>
        <w:spacing w:line="276" w:lineRule="auto"/>
        <w:jc w:val="both"/>
        <w:rPr>
          <w:rFonts w:ascii="Times New Roman" w:eastAsia="Times New Roman" w:hAnsi="Times New Roman" w:cs="Times New Roman"/>
          <w:b/>
          <w:bCs/>
        </w:rPr>
      </w:pPr>
    </w:p>
    <w:p w14:paraId="4478ADC1" w14:textId="77777777" w:rsidR="002360C3" w:rsidRDefault="002360C3">
      <w:pPr>
        <w:spacing w:line="276" w:lineRule="auto"/>
        <w:jc w:val="both"/>
        <w:rPr>
          <w:rFonts w:ascii="Times New Roman" w:eastAsia="Times New Roman" w:hAnsi="Times New Roman" w:cs="Times New Roman"/>
          <w:b/>
          <w:bCs/>
        </w:rPr>
      </w:pPr>
    </w:p>
    <w:p w14:paraId="64AEA7CB" w14:textId="77777777" w:rsidR="002360C3" w:rsidRDefault="002360C3">
      <w:pPr>
        <w:spacing w:line="276" w:lineRule="auto"/>
        <w:jc w:val="both"/>
        <w:rPr>
          <w:rFonts w:ascii="Times New Roman" w:eastAsia="Times New Roman" w:hAnsi="Times New Roman" w:cs="Times New Roman"/>
          <w:b/>
          <w:bCs/>
        </w:rPr>
      </w:pPr>
    </w:p>
    <w:p w14:paraId="1B67F90E" w14:textId="77777777" w:rsidR="002360C3" w:rsidRDefault="002360C3">
      <w:pPr>
        <w:spacing w:line="276" w:lineRule="auto"/>
        <w:jc w:val="both"/>
        <w:rPr>
          <w:rFonts w:ascii="Times New Roman" w:eastAsia="Times New Roman" w:hAnsi="Times New Roman" w:cs="Times New Roman"/>
          <w:b/>
          <w:bCs/>
        </w:rPr>
      </w:pPr>
    </w:p>
    <w:p w14:paraId="7ECA4D8C" w14:textId="77777777" w:rsidR="002360C3" w:rsidRDefault="002360C3">
      <w:pPr>
        <w:spacing w:line="276" w:lineRule="auto"/>
        <w:jc w:val="both"/>
        <w:rPr>
          <w:rFonts w:ascii="Times New Roman" w:eastAsia="Times New Roman" w:hAnsi="Times New Roman" w:cs="Times New Roman"/>
          <w:b/>
          <w:bCs/>
        </w:rPr>
      </w:pPr>
    </w:p>
    <w:p w14:paraId="320DEE4B" w14:textId="77777777" w:rsidR="002360C3" w:rsidRDefault="002360C3">
      <w:pPr>
        <w:spacing w:line="276" w:lineRule="auto"/>
        <w:jc w:val="both"/>
        <w:rPr>
          <w:rFonts w:ascii="Times New Roman" w:eastAsia="Times New Roman" w:hAnsi="Times New Roman" w:cs="Times New Roman"/>
          <w:b/>
          <w:bCs/>
        </w:rPr>
      </w:pPr>
    </w:p>
    <w:p w14:paraId="5B7B8571" w14:textId="77777777" w:rsidR="002360C3" w:rsidRDefault="002360C3">
      <w:pPr>
        <w:spacing w:line="276" w:lineRule="auto"/>
        <w:jc w:val="both"/>
        <w:rPr>
          <w:rFonts w:ascii="Times New Roman" w:eastAsia="Times New Roman" w:hAnsi="Times New Roman" w:cs="Times New Roman"/>
          <w:b/>
          <w:bCs/>
        </w:rPr>
      </w:pPr>
    </w:p>
    <w:p w14:paraId="2CBB23DB" w14:textId="77777777" w:rsidR="002360C3" w:rsidRDefault="002360C3">
      <w:pPr>
        <w:spacing w:line="276" w:lineRule="auto"/>
        <w:jc w:val="both"/>
        <w:rPr>
          <w:rFonts w:ascii="Times New Roman" w:eastAsia="Times New Roman" w:hAnsi="Times New Roman" w:cs="Times New Roman"/>
          <w:b/>
          <w:bCs/>
        </w:rPr>
      </w:pPr>
    </w:p>
    <w:p w14:paraId="225B604D" w14:textId="77777777" w:rsidR="002360C3" w:rsidRDefault="002360C3">
      <w:pPr>
        <w:spacing w:line="276" w:lineRule="auto"/>
        <w:jc w:val="both"/>
        <w:rPr>
          <w:rFonts w:ascii="Times New Roman" w:eastAsia="Times New Roman" w:hAnsi="Times New Roman" w:cs="Times New Roman"/>
          <w:b/>
          <w:bCs/>
        </w:rPr>
      </w:pPr>
    </w:p>
    <w:p w14:paraId="268A3859" w14:textId="77777777" w:rsidR="002360C3" w:rsidRDefault="002360C3">
      <w:pPr>
        <w:spacing w:line="276" w:lineRule="auto"/>
        <w:jc w:val="both"/>
        <w:rPr>
          <w:rFonts w:ascii="Times New Roman" w:eastAsia="Times New Roman" w:hAnsi="Times New Roman" w:cs="Times New Roman"/>
          <w:b/>
          <w:bCs/>
        </w:rPr>
      </w:pPr>
    </w:p>
    <w:p w14:paraId="1FA08806" w14:textId="77777777" w:rsidR="002360C3" w:rsidRDefault="002360C3">
      <w:pPr>
        <w:spacing w:line="276" w:lineRule="auto"/>
        <w:jc w:val="both"/>
        <w:rPr>
          <w:rFonts w:ascii="Times New Roman" w:eastAsia="Times New Roman" w:hAnsi="Times New Roman" w:cs="Times New Roman"/>
          <w:b/>
          <w:bCs/>
        </w:rPr>
      </w:pPr>
    </w:p>
    <w:p w14:paraId="6C8F11EA" w14:textId="77777777" w:rsidR="002360C3" w:rsidRDefault="002360C3">
      <w:pPr>
        <w:spacing w:line="276" w:lineRule="auto"/>
        <w:jc w:val="both"/>
        <w:rPr>
          <w:rFonts w:ascii="Times New Roman" w:eastAsia="Times New Roman" w:hAnsi="Times New Roman" w:cs="Times New Roman"/>
          <w:b/>
          <w:bCs/>
        </w:rPr>
      </w:pPr>
    </w:p>
    <w:p w14:paraId="47AF1FA4" w14:textId="77777777" w:rsidR="002360C3" w:rsidRDefault="002360C3">
      <w:pPr>
        <w:spacing w:line="276" w:lineRule="auto"/>
        <w:jc w:val="both"/>
        <w:rPr>
          <w:rFonts w:ascii="Times New Roman" w:eastAsia="Times New Roman" w:hAnsi="Times New Roman" w:cs="Times New Roman"/>
          <w:b/>
          <w:bCs/>
        </w:rPr>
      </w:pPr>
    </w:p>
    <w:p w14:paraId="245DA422" w14:textId="77777777" w:rsidR="002360C3" w:rsidRDefault="002360C3">
      <w:pPr>
        <w:spacing w:line="276" w:lineRule="auto"/>
        <w:jc w:val="both"/>
        <w:rPr>
          <w:rFonts w:ascii="Times New Roman" w:eastAsia="Times New Roman" w:hAnsi="Times New Roman" w:cs="Times New Roman"/>
          <w:b/>
          <w:bCs/>
        </w:rPr>
      </w:pPr>
    </w:p>
    <w:p w14:paraId="376E5FC1" w14:textId="77777777" w:rsidR="002360C3" w:rsidRDefault="002360C3">
      <w:pPr>
        <w:spacing w:line="276" w:lineRule="auto"/>
        <w:jc w:val="both"/>
        <w:rPr>
          <w:rFonts w:ascii="Times New Roman" w:eastAsia="Times New Roman" w:hAnsi="Times New Roman" w:cs="Times New Roman"/>
          <w:b/>
          <w:bCs/>
        </w:rPr>
      </w:pPr>
    </w:p>
    <w:p w14:paraId="205C39D2" w14:textId="77777777" w:rsidR="002360C3" w:rsidRDefault="002360C3">
      <w:pPr>
        <w:spacing w:line="276" w:lineRule="auto"/>
        <w:jc w:val="both"/>
        <w:rPr>
          <w:rFonts w:ascii="Times New Roman" w:eastAsia="Times New Roman" w:hAnsi="Times New Roman" w:cs="Times New Roman"/>
          <w:b/>
          <w:bCs/>
        </w:rPr>
      </w:pPr>
    </w:p>
    <w:p w14:paraId="0D22E471" w14:textId="77777777" w:rsidR="002360C3" w:rsidRDefault="002360C3">
      <w:pPr>
        <w:spacing w:line="276" w:lineRule="auto"/>
        <w:jc w:val="both"/>
        <w:rPr>
          <w:rFonts w:ascii="Times New Roman" w:eastAsia="Times New Roman" w:hAnsi="Times New Roman" w:cs="Times New Roman"/>
          <w:b/>
          <w:bCs/>
        </w:rPr>
      </w:pPr>
    </w:p>
    <w:p w14:paraId="0EA26A8B" w14:textId="77777777" w:rsidR="002360C3" w:rsidRDefault="002360C3">
      <w:pPr>
        <w:spacing w:line="276" w:lineRule="auto"/>
        <w:jc w:val="both"/>
        <w:rPr>
          <w:rFonts w:ascii="Times New Roman" w:eastAsia="Times New Roman" w:hAnsi="Times New Roman" w:cs="Times New Roman"/>
          <w:b/>
          <w:bCs/>
        </w:rPr>
      </w:pPr>
    </w:p>
    <w:p w14:paraId="07DDFF69" w14:textId="77777777" w:rsidR="002360C3" w:rsidRDefault="002360C3">
      <w:pPr>
        <w:spacing w:line="276" w:lineRule="auto"/>
        <w:jc w:val="both"/>
        <w:rPr>
          <w:rFonts w:ascii="Times New Roman" w:eastAsia="Times New Roman" w:hAnsi="Times New Roman" w:cs="Times New Roman"/>
          <w:b/>
          <w:bCs/>
        </w:rPr>
      </w:pPr>
    </w:p>
    <w:p w14:paraId="6A9C195D" w14:textId="77777777" w:rsidR="002360C3" w:rsidRDefault="002360C3">
      <w:pPr>
        <w:spacing w:line="276" w:lineRule="auto"/>
        <w:jc w:val="both"/>
        <w:rPr>
          <w:rFonts w:ascii="Times New Roman" w:eastAsia="Times New Roman" w:hAnsi="Times New Roman" w:cs="Times New Roman"/>
          <w:b/>
          <w:bCs/>
        </w:rPr>
      </w:pPr>
    </w:p>
    <w:p w14:paraId="0185E3CC" w14:textId="77777777" w:rsidR="002360C3" w:rsidRDefault="00000000">
      <w:pPr>
        <w:spacing w:line="276" w:lineRule="auto"/>
        <w:jc w:val="center"/>
        <w:rPr>
          <w:rFonts w:ascii="Times New Roman" w:eastAsia="Times New Roman" w:hAnsi="Times New Roman" w:cs="Times New Roman"/>
          <w:b/>
          <w:bCs/>
          <w:sz w:val="28"/>
          <w:szCs w:val="28"/>
        </w:rPr>
      </w:pPr>
      <w:commentRangeStart w:id="0"/>
      <w:r>
        <w:rPr>
          <w:rFonts w:ascii="Times New Roman" w:eastAsia="Times New Roman" w:hAnsi="Times New Roman" w:cs="Times New Roman"/>
          <w:b/>
          <w:bCs/>
          <w:i/>
          <w:iCs/>
          <w:sz w:val="28"/>
          <w:szCs w:val="28"/>
        </w:rPr>
        <w:lastRenderedPageBreak/>
        <w:t>E</w:t>
      </w:r>
      <w:commentRangeEnd w:id="0"/>
      <w:r w:rsidR="00F24E28">
        <w:rPr>
          <w:rStyle w:val="Refdecomentario"/>
          <w:rFonts w:ascii="Times New Roman" w:eastAsia="Times New Roman" w:hAnsi="Times New Roman" w:cs="Times New Roman"/>
          <w:b/>
          <w:bCs/>
          <w:i/>
          <w:iCs/>
          <w:sz w:val="28"/>
          <w:szCs w:val="28"/>
        </w:rPr>
        <w:commentReference w:id="0"/>
      </w:r>
      <w:r>
        <w:rPr>
          <w:rFonts w:ascii="Times New Roman" w:eastAsia="Times New Roman" w:hAnsi="Times New Roman" w:cs="Times New Roman"/>
          <w:b/>
          <w:bCs/>
          <w:i/>
          <w:iCs/>
          <w:sz w:val="28"/>
          <w:szCs w:val="28"/>
        </w:rPr>
        <w:t>l transcurso de un día soleado en cinco piezas modales</w:t>
      </w:r>
      <w:r>
        <w:rPr>
          <w:rFonts w:ascii="Times New Roman" w:eastAsia="Times New Roman" w:hAnsi="Times New Roman" w:cs="Times New Roman"/>
          <w:b/>
          <w:bCs/>
          <w:sz w:val="28"/>
          <w:szCs w:val="28"/>
        </w:rPr>
        <w:t>: una exploración compositiva de brillo y oscuridad en el sistema modal diatóni</w:t>
      </w:r>
      <w:commentRangeStart w:id="1"/>
      <w:r>
        <w:rPr>
          <w:rFonts w:ascii="Times New Roman" w:eastAsia="Times New Roman" w:hAnsi="Times New Roman" w:cs="Times New Roman"/>
          <w:b/>
          <w:bCs/>
          <w:sz w:val="28"/>
          <w:szCs w:val="28"/>
        </w:rPr>
        <w:t>co</w:t>
      </w:r>
      <w:commentRangeEnd w:id="1"/>
      <w:r w:rsidR="00F24E28">
        <w:rPr>
          <w:rStyle w:val="Refdecomentario"/>
          <w:rFonts w:ascii="Times New Roman" w:eastAsia="Times New Roman" w:hAnsi="Times New Roman" w:cs="Times New Roman"/>
          <w:b/>
          <w:bCs/>
          <w:sz w:val="28"/>
          <w:szCs w:val="28"/>
        </w:rPr>
        <w:commentReference w:id="1"/>
      </w:r>
    </w:p>
    <w:p w14:paraId="0880C8E1" w14:textId="77777777" w:rsidR="002360C3" w:rsidRDefault="00000000">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4FA702F5" w14:textId="77777777" w:rsidR="002360C3" w:rsidRDefault="002360C3">
      <w:pPr>
        <w:spacing w:line="276" w:lineRule="auto"/>
        <w:jc w:val="both"/>
        <w:rPr>
          <w:rFonts w:ascii="Times New Roman" w:eastAsia="Times New Roman" w:hAnsi="Times New Roman" w:cs="Times New Roman"/>
          <w:b/>
          <w:bCs/>
        </w:rPr>
      </w:pPr>
    </w:p>
    <w:p w14:paraId="55293E37" w14:textId="77777777" w:rsidR="002360C3" w:rsidRPr="00F24E28" w:rsidRDefault="00000000">
      <w:pPr>
        <w:spacing w:line="276" w:lineRule="auto"/>
        <w:jc w:val="center"/>
        <w:rPr>
          <w:rFonts w:ascii="Times New Roman" w:eastAsia="Times New Roman" w:hAnsi="Times New Roman" w:cs="Times New Roman"/>
          <w:lang w:val="en-US"/>
        </w:rPr>
      </w:pPr>
      <w:r w:rsidRPr="00F24E28">
        <w:rPr>
          <w:rFonts w:ascii="Times New Roman" w:eastAsia="Times New Roman" w:hAnsi="Times New Roman" w:cs="Times New Roman"/>
          <w:i/>
          <w:iCs/>
          <w:lang w:val="en-US"/>
        </w:rPr>
        <w:t>The Course of a Sunny Day in Five Modal Pieces</w:t>
      </w:r>
      <w:r w:rsidRPr="00F24E28">
        <w:rPr>
          <w:rFonts w:ascii="Times New Roman" w:eastAsia="Times New Roman" w:hAnsi="Times New Roman" w:cs="Times New Roman"/>
          <w:lang w:val="en-US"/>
        </w:rPr>
        <w:t>: A Compositional Exploration of Brightness and Darkness in the Major Modal System</w:t>
      </w:r>
    </w:p>
    <w:p w14:paraId="2A44B7F9" w14:textId="77777777" w:rsidR="002360C3" w:rsidRPr="00F24E28" w:rsidRDefault="002360C3">
      <w:pPr>
        <w:spacing w:line="276" w:lineRule="auto"/>
        <w:jc w:val="both"/>
        <w:rPr>
          <w:rFonts w:ascii="Times New Roman" w:eastAsia="Times New Roman" w:hAnsi="Times New Roman" w:cs="Times New Roman"/>
          <w:lang w:val="en-US"/>
        </w:rPr>
      </w:pPr>
    </w:p>
    <w:p w14:paraId="295285D4" w14:textId="77777777" w:rsidR="002360C3" w:rsidRPr="00F24E28" w:rsidRDefault="002360C3">
      <w:pPr>
        <w:spacing w:line="276" w:lineRule="auto"/>
        <w:jc w:val="both"/>
        <w:rPr>
          <w:rFonts w:ascii="Times New Roman" w:eastAsia="Times New Roman" w:hAnsi="Times New Roman" w:cs="Times New Roman"/>
          <w:lang w:val="en-US"/>
        </w:rPr>
      </w:pPr>
    </w:p>
    <w:p w14:paraId="5DE4DC99" w14:textId="77777777" w:rsidR="002360C3"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Hugo Armando Espitia Romer</w:t>
      </w:r>
      <w:commentRangeStart w:id="2"/>
      <w:r>
        <w:rPr>
          <w:rFonts w:ascii="Times New Roman" w:eastAsia="Times New Roman" w:hAnsi="Times New Roman" w:cs="Times New Roman"/>
        </w:rPr>
        <w:t>o</w:t>
      </w:r>
      <w:commentRangeEnd w:id="2"/>
      <w:r w:rsidR="00F24E28">
        <w:rPr>
          <w:rStyle w:val="Refdecomentario"/>
          <w:rFonts w:ascii="Times New Roman" w:eastAsia="Times New Roman" w:hAnsi="Times New Roman" w:cs="Times New Roman"/>
          <w:sz w:val="24"/>
          <w:szCs w:val="24"/>
        </w:rPr>
        <w:commentReference w:id="2"/>
      </w:r>
    </w:p>
    <w:p w14:paraId="2FEFB778" w14:textId="77777777" w:rsidR="002360C3" w:rsidRDefault="00000000">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Universidad INCCA</w:t>
      </w:r>
    </w:p>
    <w:p w14:paraId="1A5E40ED" w14:textId="77777777" w:rsidR="002360C3" w:rsidRDefault="00000000">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Departamento de música</w:t>
      </w:r>
    </w:p>
    <w:p w14:paraId="2CED7EC5" w14:textId="77777777" w:rsidR="002360C3"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Bogotá, Bogotá, Colombia</w:t>
      </w:r>
    </w:p>
    <w:p w14:paraId="2E2507A9" w14:textId="77777777" w:rsidR="002360C3" w:rsidRDefault="00000000">
      <w:pPr>
        <w:spacing w:line="276" w:lineRule="auto"/>
        <w:jc w:val="center"/>
        <w:rPr>
          <w:rFonts w:ascii="Times New Roman" w:eastAsia="Times New Roman" w:hAnsi="Times New Roman" w:cs="Times New Roman"/>
          <w:color w:val="3C78D8"/>
        </w:rPr>
      </w:pPr>
      <w:hyperlink r:id="rId12">
        <w:r>
          <w:rPr>
            <w:rFonts w:ascii="Times New Roman" w:eastAsia="Times New Roman" w:hAnsi="Times New Roman" w:cs="Times New Roman"/>
            <w:color w:val="3C78D8"/>
            <w:u w:val="single"/>
          </w:rPr>
          <w:t>hugoespitia7@gmail.com</w:t>
        </w:r>
      </w:hyperlink>
    </w:p>
    <w:p w14:paraId="5DA3ABCB" w14:textId="77777777" w:rsidR="002360C3"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7522C4F3" wp14:editId="51EAA359">
            <wp:extent cx="198755" cy="198755"/>
            <wp:effectExtent l="0" t="0" r="0" b="0"/>
            <wp:docPr id="2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3"/>
                    <a:srcRect/>
                    <a:stretch>
                      <a:fillRect/>
                    </a:stretch>
                  </pic:blipFill>
                  <pic:spPr>
                    <a:xfrm>
                      <a:off x="0" y="0"/>
                      <a:ext cx="198755" cy="198755"/>
                    </a:xfrm>
                    <a:prstGeom prst="rect">
                      <a:avLst/>
                    </a:prstGeom>
                    <a:ln/>
                  </pic:spPr>
                </pic:pic>
              </a:graphicData>
            </a:graphic>
          </wp:inline>
        </w:drawing>
      </w:r>
      <w:commentRangeStart w:id="3"/>
      <w:r>
        <w:fldChar w:fldCharType="begin"/>
      </w:r>
      <w:r>
        <w:instrText>HYPERLINK "https://orcid.org/0009-0003-6484-3330" \h</w:instrText>
      </w:r>
      <w:r>
        <w:fldChar w:fldCharType="separate"/>
      </w:r>
      <w:r>
        <w:rPr>
          <w:rFonts w:ascii="Times New Roman" w:eastAsia="Times New Roman" w:hAnsi="Times New Roman" w:cs="Times New Roman"/>
          <w:color w:val="1155CC"/>
          <w:u w:val="single"/>
        </w:rPr>
        <w:t>https://orcid.org/0009-0003-6484-3330</w:t>
      </w:r>
      <w:r>
        <w:fldChar w:fldCharType="end"/>
      </w:r>
      <w:commentRangeEnd w:id="3"/>
      <w:r w:rsidR="00F24E28">
        <w:rPr>
          <w:rStyle w:val="Refdecomentario"/>
          <w:rFonts w:ascii="Times New Roman" w:eastAsia="Times New Roman" w:hAnsi="Times New Roman" w:cs="Times New Roman"/>
          <w:sz w:val="24"/>
          <w:szCs w:val="24"/>
        </w:rPr>
        <w:commentReference w:id="3"/>
      </w:r>
    </w:p>
    <w:p w14:paraId="6B027CEF" w14:textId="77777777" w:rsidR="002360C3" w:rsidRDefault="002360C3">
      <w:pPr>
        <w:spacing w:line="276" w:lineRule="auto"/>
        <w:jc w:val="both"/>
        <w:rPr>
          <w:rFonts w:ascii="Times New Roman" w:eastAsia="Times New Roman" w:hAnsi="Times New Roman" w:cs="Times New Roman"/>
          <w:b/>
          <w:bCs/>
          <w:sz w:val="20"/>
          <w:szCs w:val="20"/>
        </w:rPr>
      </w:pPr>
    </w:p>
    <w:p w14:paraId="597FD622" w14:textId="77777777" w:rsidR="002360C3" w:rsidRDefault="002360C3">
      <w:pPr>
        <w:spacing w:line="276" w:lineRule="auto"/>
        <w:jc w:val="both"/>
        <w:rPr>
          <w:rFonts w:ascii="Times New Roman" w:eastAsia="Times New Roman" w:hAnsi="Times New Roman" w:cs="Times New Roman"/>
          <w:b/>
          <w:bCs/>
          <w:sz w:val="20"/>
          <w:szCs w:val="20"/>
        </w:rPr>
      </w:pPr>
    </w:p>
    <w:p w14:paraId="1846B331" w14:textId="77777777" w:rsidR="002360C3" w:rsidRDefault="00000000">
      <w:pPr>
        <w:spacing w:line="276" w:lineRule="auto"/>
        <w:jc w:val="both"/>
        <w:rPr>
          <w:rFonts w:ascii="Times New Roman" w:eastAsia="Times New Roman" w:hAnsi="Times New Roman" w:cs="Times New Roman"/>
          <w:b/>
          <w:bCs/>
        </w:rPr>
      </w:pPr>
      <w:commentRangeStart w:id="4"/>
      <w:r>
        <w:rPr>
          <w:rFonts w:ascii="Times New Roman" w:eastAsia="Times New Roman" w:hAnsi="Times New Roman" w:cs="Times New Roman"/>
          <w:b/>
          <w:bCs/>
        </w:rPr>
        <w:t>Resumen</w:t>
      </w:r>
      <w:commentRangeEnd w:id="4"/>
      <w:r w:rsidR="00F24E28">
        <w:rPr>
          <w:rStyle w:val="Refdecomentario"/>
          <w:rFonts w:ascii="Times New Roman" w:eastAsia="Times New Roman" w:hAnsi="Times New Roman" w:cs="Times New Roman"/>
          <w:b/>
          <w:bCs/>
          <w:sz w:val="24"/>
          <w:szCs w:val="24"/>
        </w:rPr>
        <w:commentReference w:id="4"/>
      </w:r>
    </w:p>
    <w:p w14:paraId="6B55144C"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La música y el ser humano han mantenido una estrecha relación que ha impulsado la exploración sonora en diversas dimensiones. Este trabajo aborda la composición musical vinculada con sensaciones visuales a partir de la gradación de brillo a oscuridad de los modos del sistema modal diatónico. La obra recrea el ciclo lumínico de un día mediante cinco piezas: desde el brillo tenue del alba y la claridad de la mañana hasta el mediodía </w:t>
      </w:r>
      <w:commentRangeStart w:id="5"/>
      <w:r>
        <w:rPr>
          <w:rFonts w:ascii="Times New Roman" w:eastAsia="Times New Roman" w:hAnsi="Times New Roman" w:cs="Times New Roman"/>
        </w:rPr>
        <w:t>—</w:t>
      </w:r>
      <w:commentRangeEnd w:id="5"/>
      <w:r w:rsidR="00F24E28">
        <w:rPr>
          <w:rStyle w:val="Refdecomentario"/>
          <w:rFonts w:ascii="Times New Roman" w:eastAsia="Times New Roman" w:hAnsi="Times New Roman" w:cs="Times New Roman"/>
          <w:sz w:val="24"/>
          <w:szCs w:val="24"/>
        </w:rPr>
        <w:commentReference w:id="5"/>
      </w:r>
      <w:r>
        <w:rPr>
          <w:rFonts w:ascii="Times New Roman" w:eastAsia="Times New Roman" w:hAnsi="Times New Roman" w:cs="Times New Roman"/>
        </w:rPr>
        <w:t>cumbre del brillo—, el ocaso y la oscuridad de la noche. El análisis auditivo y comparativo del material compuesto permitió relacionar las diferencias en las distancias interválicas de los modos con distintos grados de brillo u oscuridad y ordenarlos como un degradado lumínico, desde el lidio hasta el locrio. A partir de este resultado, el trabajo plantea una revisión crítica de la propuesta que vincula la oscuridad con los bemoles y el brillo con los sostenidos, al situar el fundamento de esta gradación en la mayor o menor amplitud de los intervalos. El estudio contribuye al campo de la composición musical al ofrecer una metodología para traducir conceptos visuales en experiencias auditivas y enriquecer el lenguaje expresivo de la música de cámara.</w:t>
      </w:r>
    </w:p>
    <w:p w14:paraId="39F89BF9" w14:textId="77777777" w:rsidR="002360C3" w:rsidRDefault="002360C3">
      <w:pPr>
        <w:spacing w:line="276" w:lineRule="auto"/>
        <w:jc w:val="both"/>
        <w:rPr>
          <w:rFonts w:ascii="Times New Roman" w:eastAsia="Times New Roman" w:hAnsi="Times New Roman" w:cs="Times New Roman"/>
          <w:b/>
          <w:bCs/>
        </w:rPr>
      </w:pPr>
    </w:p>
    <w:p w14:paraId="11847CBF" w14:textId="77777777" w:rsidR="002360C3" w:rsidRDefault="00000000">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Palabras clave</w:t>
      </w:r>
    </w:p>
    <w:p w14:paraId="22B26456"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Modos; sistema modal diatónico; brillo; oscuridad; composición; análisis musical; percepción auditiva; intervalos musicales</w:t>
      </w:r>
    </w:p>
    <w:p w14:paraId="30BFEC84" w14:textId="77777777" w:rsidR="002360C3" w:rsidRDefault="002360C3">
      <w:pPr>
        <w:spacing w:line="276" w:lineRule="auto"/>
        <w:jc w:val="both"/>
        <w:rPr>
          <w:rFonts w:ascii="Times New Roman" w:eastAsia="Times New Roman" w:hAnsi="Times New Roman" w:cs="Times New Roman"/>
        </w:rPr>
      </w:pPr>
    </w:p>
    <w:p w14:paraId="4DE16369" w14:textId="77777777" w:rsidR="002360C3" w:rsidRPr="00F24E28" w:rsidRDefault="00000000">
      <w:pPr>
        <w:spacing w:line="276" w:lineRule="auto"/>
        <w:jc w:val="both"/>
        <w:rPr>
          <w:rFonts w:ascii="Times New Roman" w:eastAsia="Times New Roman" w:hAnsi="Times New Roman" w:cs="Times New Roman"/>
          <w:lang w:val="en-US"/>
        </w:rPr>
      </w:pPr>
      <w:r w:rsidRPr="00F24E28">
        <w:rPr>
          <w:rFonts w:ascii="Times New Roman" w:eastAsia="Times New Roman" w:hAnsi="Times New Roman" w:cs="Times New Roman"/>
          <w:b/>
          <w:bCs/>
          <w:lang w:val="en-US"/>
        </w:rPr>
        <w:t>Abstract</w:t>
      </w:r>
    </w:p>
    <w:p w14:paraId="5AAF9CB8" w14:textId="77777777" w:rsidR="002360C3" w:rsidRPr="00F24E28" w:rsidRDefault="00000000">
      <w:pPr>
        <w:spacing w:line="276" w:lineRule="auto"/>
        <w:jc w:val="both"/>
        <w:rPr>
          <w:rFonts w:ascii="Times New Roman" w:eastAsia="Times New Roman" w:hAnsi="Times New Roman" w:cs="Times New Roman"/>
          <w:lang w:val="en-US"/>
        </w:rPr>
      </w:pPr>
      <w:r w:rsidRPr="00F24E28">
        <w:rPr>
          <w:rFonts w:ascii="Times New Roman" w:eastAsia="Times New Roman" w:hAnsi="Times New Roman" w:cs="Times New Roman"/>
          <w:lang w:val="en-US"/>
        </w:rPr>
        <w:t>Music and human beings have maintained a close relationship that has encouraged sonic exploration across various dimensions. This study examines musical composition associated with visual sensations through a brightness</w:t>
      </w:r>
      <w:commentRangeStart w:id="6"/>
      <w:r w:rsidRPr="00F24E28">
        <w:rPr>
          <w:rFonts w:ascii="Times New Roman" w:eastAsia="Times New Roman" w:hAnsi="Times New Roman" w:cs="Times New Roman"/>
          <w:i/>
          <w:iCs/>
          <w:sz w:val="20"/>
          <w:szCs w:val="20"/>
          <w:lang w:val="en-US"/>
        </w:rPr>
        <w:t>–</w:t>
      </w:r>
      <w:commentRangeEnd w:id="6"/>
      <w:r w:rsidR="006D4F2F" w:rsidRPr="00F24E28">
        <w:rPr>
          <w:rStyle w:val="Refdecomentario"/>
          <w:rFonts w:ascii="Times New Roman" w:eastAsia="Times New Roman" w:hAnsi="Times New Roman" w:cs="Times New Roman"/>
          <w:sz w:val="24"/>
          <w:szCs w:val="24"/>
          <w:lang w:val="en-US"/>
        </w:rPr>
        <w:commentReference w:id="6"/>
      </w:r>
      <w:r w:rsidRPr="00F24E28">
        <w:rPr>
          <w:rFonts w:ascii="Times New Roman" w:eastAsia="Times New Roman" w:hAnsi="Times New Roman" w:cs="Times New Roman"/>
          <w:lang w:val="en-US"/>
        </w:rPr>
        <w:t>to</w:t>
      </w:r>
      <w:r w:rsidRPr="00F24E28">
        <w:rPr>
          <w:rFonts w:ascii="Times New Roman" w:eastAsia="Times New Roman" w:hAnsi="Times New Roman" w:cs="Times New Roman"/>
          <w:i/>
          <w:iCs/>
          <w:sz w:val="20"/>
          <w:szCs w:val="20"/>
          <w:lang w:val="en-US"/>
        </w:rPr>
        <w:t>–</w:t>
      </w:r>
      <w:r w:rsidRPr="00F24E28">
        <w:rPr>
          <w:rFonts w:ascii="Times New Roman" w:eastAsia="Times New Roman" w:hAnsi="Times New Roman" w:cs="Times New Roman"/>
          <w:lang w:val="en-US"/>
        </w:rPr>
        <w:t>darkness gradation of the diatonic modes. The work recreates the changing light of a day through five pieces: from the dim glow of dawn and the clarity of the morning to noon —the peak of brightness— followed by sunset and the darkness of night. An auditory and comparative analysis of the composed material revealed a relationship between differences in the modes’ intervallic distances and varying degrees of brightness or darkness, allowing them to be arranged as a luminous gradient from Lydian to Locrian. Based on this finding, the study critically reconsiders the proposition that associates darkness with flats and brightness with sharps, locating the basis of this gradation instead in the relative width of the intervals. This study contributes to the field of musical composition by offering a methodology for translating visual concepts into auditory experiences and enriching the expressive language of chamber music.</w:t>
      </w:r>
    </w:p>
    <w:p w14:paraId="1E1C1610" w14:textId="77777777" w:rsidR="002360C3" w:rsidRPr="00F24E28" w:rsidRDefault="002360C3">
      <w:pPr>
        <w:spacing w:line="276" w:lineRule="auto"/>
        <w:jc w:val="both"/>
        <w:rPr>
          <w:rFonts w:ascii="Times New Roman" w:eastAsia="Times New Roman" w:hAnsi="Times New Roman" w:cs="Times New Roman"/>
          <w:lang w:val="en-US"/>
        </w:rPr>
      </w:pPr>
    </w:p>
    <w:p w14:paraId="368727C6" w14:textId="77777777" w:rsidR="002360C3" w:rsidRPr="00F24E28" w:rsidRDefault="00000000">
      <w:pPr>
        <w:spacing w:line="276" w:lineRule="auto"/>
        <w:jc w:val="both"/>
        <w:rPr>
          <w:rFonts w:ascii="Times New Roman" w:eastAsia="Times New Roman" w:hAnsi="Times New Roman" w:cs="Times New Roman"/>
          <w:b/>
          <w:bCs/>
          <w:lang w:val="en-US"/>
        </w:rPr>
      </w:pPr>
      <w:r w:rsidRPr="00F24E28">
        <w:rPr>
          <w:rFonts w:ascii="Times New Roman" w:eastAsia="Times New Roman" w:hAnsi="Times New Roman" w:cs="Times New Roman"/>
          <w:b/>
          <w:bCs/>
          <w:lang w:val="en-US"/>
        </w:rPr>
        <w:t>Keywords</w:t>
      </w:r>
    </w:p>
    <w:p w14:paraId="7A0DA71A" w14:textId="77777777" w:rsidR="002360C3" w:rsidRPr="00F24E28" w:rsidRDefault="00000000">
      <w:pPr>
        <w:spacing w:line="276" w:lineRule="auto"/>
        <w:jc w:val="both"/>
        <w:rPr>
          <w:rFonts w:ascii="Times New Roman" w:eastAsia="Times New Roman" w:hAnsi="Times New Roman" w:cs="Times New Roman"/>
          <w:lang w:val="en-US"/>
        </w:rPr>
      </w:pPr>
      <w:r w:rsidRPr="00F24E28">
        <w:rPr>
          <w:rFonts w:ascii="Times New Roman" w:eastAsia="Times New Roman" w:hAnsi="Times New Roman" w:cs="Times New Roman"/>
          <w:lang w:val="en-US"/>
        </w:rPr>
        <w:t>Modes; Major Modal System; Brightness; Darkness; Composition; Musical Analysis; Auditory Perception; Musical Intervals</w:t>
      </w:r>
    </w:p>
    <w:p w14:paraId="78D077EB" w14:textId="3D6A2024" w:rsidR="002360C3" w:rsidRPr="00F24E28" w:rsidRDefault="006D4F2F">
      <w:pPr>
        <w:spacing w:line="276" w:lineRule="auto"/>
        <w:jc w:val="both"/>
        <w:rPr>
          <w:rFonts w:ascii="Times New Roman" w:eastAsia="Times New Roman" w:hAnsi="Times New Roman" w:cs="Times New Roman"/>
          <w:lang w:val="en-US"/>
        </w:rPr>
      </w:pPr>
      <w:r>
        <w:rPr>
          <w:noProof/>
        </w:rPr>
        <mc:AlternateContent>
          <mc:Choice Requires="wps">
            <w:drawing>
              <wp:anchor distT="114300" distB="114300" distL="114300" distR="114300" simplePos="0" relativeHeight="251658240" behindDoc="0" locked="0" layoutInCell="1" hidden="0" allowOverlap="1" wp14:anchorId="31897DF3" wp14:editId="2FD453F9">
                <wp:simplePos x="0" y="0"/>
                <wp:positionH relativeFrom="column">
                  <wp:posOffset>1270</wp:posOffset>
                </wp:positionH>
                <wp:positionV relativeFrom="paragraph">
                  <wp:posOffset>355600</wp:posOffset>
                </wp:positionV>
                <wp:extent cx="5613400" cy="487680"/>
                <wp:effectExtent l="12700" t="12700" r="12700" b="7620"/>
                <wp:wrapSquare wrapText="bothSides" distT="114300" distB="114300" distL="114300" distR="114300"/>
                <wp:docPr id="1" name="Rectángulo 1"/>
                <wp:cNvGraphicFramePr/>
                <a:graphic xmlns:a="http://schemas.openxmlformats.org/drawingml/2006/main">
                  <a:graphicData uri="http://schemas.microsoft.com/office/word/2010/wordprocessingShape">
                    <wps:wsp>
                      <wps:cNvSpPr/>
                      <wps:spPr>
                        <a:xfrm>
                          <a:off x="0" y="0"/>
                          <a:ext cx="5613400" cy="487680"/>
                        </a:xfrm>
                        <a:prstGeom prst="rect">
                          <a:avLst/>
                        </a:prstGeom>
                        <a:noFill/>
                        <a:ln w="19050" cap="flat" cmpd="sng">
                          <a:solidFill>
                            <a:srgbClr val="3C78D8"/>
                          </a:solidFill>
                          <a:prstDash val="solid"/>
                          <a:round/>
                          <a:headEnd type="none" w="sm" len="sm"/>
                          <a:tailEnd type="none" w="sm" len="sm"/>
                        </a:ln>
                      </wps:spPr>
                      <wps:txbx>
                        <w:txbxContent>
                          <w:p w14:paraId="4B082F32" w14:textId="77777777" w:rsidR="002360C3" w:rsidRDefault="00000000">
                            <w:pPr>
                              <w:spacing w:line="275" w:lineRule="auto"/>
                              <w:textDirection w:val="btLr"/>
                            </w:pPr>
                            <w:r>
                              <w:rPr>
                                <w:rFonts w:ascii="Times New Roman" w:eastAsia="Times New Roman" w:hAnsi="Times New Roman" w:cs="Times New Roman"/>
                                <w:b/>
                                <w:color w:val="434343"/>
                                <w:sz w:val="18"/>
                              </w:rPr>
                              <w:t>Recibido: 5 de diciembre de 2025  / Revisado: 22 de julio  / Aceptado: 19 de agosto</w:t>
                            </w: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31897DF3" id="Rectángulo 1" o:spid="_x0000_s1026" style="position:absolute;left:0;text-align:left;margin-left:.1pt;margin-top:28pt;width:442pt;height:38.4pt;z-index:251658240;visibility:visible;mso-wrap-style:square;mso-width-percent:0;mso-wrap-distance-left:9pt;mso-wrap-distance-top:9pt;mso-wrap-distance-right:9pt;mso-wrap-distance-bottom:9pt;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" filled="f" strokecolor="#3c78d8" strokeweight="1.5pt">
                <v:stroke startarrowwidth="narrow" startarrowlength="short" endarrowwidth="narrow" endarrowlength="short" joinstyle="round"/>
                <v:textbox inset="2.53958mm,2.53958mm,2.53958mm,2.53958mm">
                  <w:txbxContent>
                    <w:p w14:paraId="4B082F32" w14:textId="77777777" w:rsidR="002360C3" w:rsidRDefault="00000000">
                      <w:pPr>
                        <w:spacing w:line="275" w:lineRule="auto"/>
                        <w:textDirection w:val="btLr"/>
                      </w:pPr>
                      <w:r>
                        <w:rPr>
                          <w:rFonts w:ascii="Times New Roman" w:eastAsia="Times New Roman" w:hAnsi="Times New Roman" w:cs="Times New Roman"/>
                          <w:b/>
                          <w:color w:val="434343"/>
                          <w:sz w:val="18"/>
                        </w:rPr>
                        <w:t>Recibido: 5 de diciembre de 2025  / Revisado: 22 de julio  / Aceptado: 19 de agosto</w:t>
                      </w:r>
                    </w:p>
                  </w:txbxContent>
                </v:textbox>
                <w10:wrap type="square"/>
              </v:rect>
            </w:pict>
          </mc:Fallback>
        </mc:AlternateContent>
      </w:r>
      <w:commentRangeStart w:id="7"/>
      <w:commentRangeEnd w:id="7"/>
      <w:r w:rsidRPr="00F24E28">
        <w:rPr>
          <w:rStyle w:val="Refdecomentario"/>
          <w:rFonts w:ascii="Times New Roman" w:eastAsia="Times New Roman" w:hAnsi="Times New Roman" w:cs="Times New Roman"/>
          <w:sz w:val="24"/>
          <w:szCs w:val="24"/>
          <w:lang w:val="en-US"/>
        </w:rPr>
        <w:commentReference w:id="7"/>
      </w:r>
    </w:p>
    <w:p w14:paraId="70956CBA" w14:textId="03646457" w:rsidR="002360C3" w:rsidRPr="00F24E28" w:rsidRDefault="002360C3">
      <w:pPr>
        <w:spacing w:line="276" w:lineRule="auto"/>
        <w:jc w:val="both"/>
        <w:rPr>
          <w:rFonts w:ascii="Times New Roman" w:eastAsia="Times New Roman" w:hAnsi="Times New Roman" w:cs="Times New Roman"/>
          <w:lang w:val="en-US"/>
        </w:rPr>
      </w:pPr>
    </w:p>
    <w:p w14:paraId="2F790D3D" w14:textId="77777777" w:rsidR="002360C3" w:rsidRDefault="00000000">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Introducción: la conexión ineludible entre sonido y percepción humana</w:t>
      </w:r>
    </w:p>
    <w:p w14:paraId="51FDA5C4" w14:textId="77777777" w:rsidR="002360C3" w:rsidRDefault="00000000">
      <w:pPr>
        <w:spacing w:line="276" w:lineRule="auto"/>
        <w:jc w:val="both"/>
        <w:rPr>
          <w:rFonts w:ascii="Times New Roman" w:eastAsia="Times New Roman" w:hAnsi="Times New Roman" w:cs="Times New Roman"/>
        </w:rPr>
      </w:pPr>
      <w:commentRangeStart w:id="8"/>
      <w:r>
        <w:rPr>
          <w:rFonts w:ascii="Times New Roman" w:eastAsia="Times New Roman" w:hAnsi="Times New Roman" w:cs="Times New Roman"/>
        </w:rPr>
        <w:t xml:space="preserve">La música </w:t>
      </w:r>
      <w:commentRangeEnd w:id="8"/>
      <w:r w:rsidR="00863F61">
        <w:rPr>
          <w:rStyle w:val="Refdecomentario"/>
          <w:rFonts w:ascii="Times New Roman" w:eastAsia="Times New Roman" w:hAnsi="Times New Roman" w:cs="Times New Roman"/>
          <w:sz w:val="24"/>
          <w:szCs w:val="24"/>
        </w:rPr>
        <w:commentReference w:id="8"/>
      </w:r>
      <w:r>
        <w:rPr>
          <w:rFonts w:ascii="Times New Roman" w:eastAsia="Times New Roman" w:hAnsi="Times New Roman" w:cs="Times New Roman"/>
        </w:rPr>
        <w:t xml:space="preserve">mantiene una estrecha relación con la experiencia humana y constituye una práctica presente en todas las sociedades estudiadas, asociada con actividades como el cuidado infantil, la danza, la curación, los rituales y las relaciones afectivas </w:t>
      </w:r>
      <w:commentRangeStart w:id="9"/>
      <w:r>
        <w:rPr>
          <w:rFonts w:ascii="Times New Roman" w:eastAsia="Times New Roman" w:hAnsi="Times New Roman" w:cs="Times New Roman"/>
        </w:rPr>
        <w:t xml:space="preserve">(Mehr </w:t>
      </w:r>
      <w:r>
        <w:rPr>
          <w:rFonts w:ascii="Times New Roman" w:eastAsia="Times New Roman" w:hAnsi="Times New Roman" w:cs="Times New Roman"/>
          <w:i/>
          <w:iCs/>
        </w:rPr>
        <w:t>et al</w:t>
      </w:r>
      <w:r>
        <w:rPr>
          <w:rFonts w:ascii="Times New Roman" w:eastAsia="Times New Roman" w:hAnsi="Times New Roman" w:cs="Times New Roman"/>
        </w:rPr>
        <w:t>., 2019).</w:t>
      </w:r>
      <w:commentRangeEnd w:id="9"/>
      <w:r w:rsidR="006D4F2F">
        <w:rPr>
          <w:rStyle w:val="Refdecomentario"/>
          <w:rFonts w:ascii="Times New Roman" w:eastAsia="Times New Roman" w:hAnsi="Times New Roman" w:cs="Times New Roman"/>
          <w:sz w:val="24"/>
          <w:szCs w:val="24"/>
        </w:rPr>
        <w:commentReference w:id="9"/>
      </w:r>
      <w:r>
        <w:rPr>
          <w:rFonts w:ascii="Times New Roman" w:eastAsia="Times New Roman" w:hAnsi="Times New Roman" w:cs="Times New Roman"/>
        </w:rPr>
        <w:t xml:space="preserve"> Su comprensión, por tanto, no se agota en las estructuras teóricas ni en las posibilidades instrumentales, sino que se extiende hacia los procesos perceptivos y emocionales involucrados en la experiencia sonora, pues la música puede activar redes </w:t>
      </w:r>
      <w:r>
        <w:rPr>
          <w:rFonts w:ascii="Times New Roman" w:eastAsia="Times New Roman" w:hAnsi="Times New Roman" w:cs="Times New Roman"/>
        </w:rPr>
        <w:lastRenderedPageBreak/>
        <w:t>cerebrales relacionadas con la emoción, la memoria y la recompensa (Koelsch, 2014). La presente investigación</w:t>
      </w:r>
      <w:r>
        <w:rPr>
          <w:rFonts w:ascii="Times New Roman" w:eastAsia="Times New Roman" w:hAnsi="Times New Roman" w:cs="Times New Roman"/>
          <w:i/>
          <w:iCs/>
          <w:sz w:val="20"/>
          <w:szCs w:val="20"/>
        </w:rPr>
        <w:t>–</w:t>
      </w:r>
      <w:r>
        <w:rPr>
          <w:rFonts w:ascii="Times New Roman" w:eastAsia="Times New Roman" w:hAnsi="Times New Roman" w:cs="Times New Roman"/>
        </w:rPr>
        <w:t>creación se inserta en esta tradición, proponiendo la composición de música que no solo se articula a través de principios teóricos y herramientas compositivas, sino que busca establecer un diálogo directo con las sensaciones visuales, en particular, la gradación lumínica que experimentamos en el transcurso de un día soleado.</w:t>
      </w:r>
    </w:p>
    <w:p w14:paraId="0ACD2A6C" w14:textId="77777777" w:rsidR="002360C3" w:rsidRDefault="00000000">
      <w:pPr>
        <w:spacing w:line="276" w:lineRule="auto"/>
        <w:ind w:firstLine="720"/>
        <w:jc w:val="both"/>
        <w:rPr>
          <w:rFonts w:ascii="Times New Roman" w:eastAsia="Times New Roman" w:hAnsi="Times New Roman" w:cs="Times New Roman"/>
        </w:rPr>
      </w:pPr>
      <w:commentRangeStart w:id="10"/>
      <w:r>
        <w:rPr>
          <w:rFonts w:ascii="Times New Roman" w:eastAsia="Times New Roman" w:hAnsi="Times New Roman" w:cs="Times New Roman"/>
        </w:rPr>
        <w:t xml:space="preserve">La curiosidad </w:t>
      </w:r>
      <w:commentRangeEnd w:id="10"/>
      <w:r w:rsidR="00863F61">
        <w:rPr>
          <w:rStyle w:val="Refdecomentario"/>
          <w:rFonts w:ascii="Times New Roman" w:eastAsia="Times New Roman" w:hAnsi="Times New Roman" w:cs="Times New Roman"/>
          <w:sz w:val="24"/>
          <w:szCs w:val="24"/>
        </w:rPr>
        <w:commentReference w:id="10"/>
      </w:r>
      <w:r>
        <w:rPr>
          <w:rFonts w:ascii="Times New Roman" w:eastAsia="Times New Roman" w:hAnsi="Times New Roman" w:cs="Times New Roman"/>
        </w:rPr>
        <w:t>inherente al ser humano, descrita por Aristóteles en su </w:t>
      </w:r>
      <w:r>
        <w:rPr>
          <w:rFonts w:ascii="Times New Roman" w:eastAsia="Times New Roman" w:hAnsi="Times New Roman" w:cs="Times New Roman"/>
          <w:i/>
          <w:iCs/>
        </w:rPr>
        <w:t>Metafísica</w:t>
      </w:r>
      <w:r>
        <w:rPr>
          <w:rFonts w:ascii="Times New Roman" w:eastAsia="Times New Roman" w:hAnsi="Times New Roman" w:cs="Times New Roman"/>
        </w:rPr>
        <w:t xml:space="preserve"> con la célebre frase “Todos los hombres desean por naturaleza saber”(2017, p. 41), se manifiesta plenamente en el ámbito musical. Esta búsqueda del conocimiento y la comprensión ha llevado al desarrollo de complejas herramientas teóricas, desde el contrapunto y la orquestación hasta las teorías de la armonía, la tonalidad y la modalidad, así como un profundo estudio de la acústica. Sin embargo, en la contemporaneidad, la masificación y la velocidad inherentes a </w:t>
      </w:r>
      <w:commentRangeStart w:id="11"/>
      <w:r>
        <w:rPr>
          <w:rFonts w:ascii="Times New Roman" w:eastAsia="Times New Roman" w:hAnsi="Times New Roman" w:cs="Times New Roman"/>
        </w:rPr>
        <w:t xml:space="preserve">la “sociedad del cansancio”(Han, 2015, p.9) </w:t>
      </w:r>
      <w:commentRangeEnd w:id="11"/>
      <w:r w:rsidR="006D4F2F">
        <w:rPr>
          <w:rStyle w:val="Refdecomentario"/>
          <w:rFonts w:ascii="Times New Roman" w:eastAsia="Times New Roman" w:hAnsi="Times New Roman" w:cs="Times New Roman"/>
          <w:sz w:val="24"/>
          <w:szCs w:val="24"/>
        </w:rPr>
        <w:commentReference w:id="11"/>
      </w:r>
      <w:r>
        <w:rPr>
          <w:rFonts w:ascii="Times New Roman" w:eastAsia="Times New Roman" w:hAnsi="Times New Roman" w:cs="Times New Roman"/>
        </w:rPr>
        <w:t>amenazan con diluir el valor intrínseco de la creación artística que demanda tiempo y un esfuerzo contemplativo. En palabras de Byung</w:t>
      </w:r>
      <w:r>
        <w:rPr>
          <w:rFonts w:ascii="Times New Roman" w:eastAsia="Times New Roman" w:hAnsi="Times New Roman" w:cs="Times New Roman"/>
          <w:i/>
          <w:iCs/>
          <w:sz w:val="20"/>
          <w:szCs w:val="20"/>
        </w:rPr>
        <w:t>–</w:t>
      </w:r>
      <w:r>
        <w:rPr>
          <w:rFonts w:ascii="Times New Roman" w:eastAsia="Times New Roman" w:hAnsi="Times New Roman" w:cs="Times New Roman"/>
        </w:rPr>
        <w:t>Chul Han, “lo bello responde a la duración, a una síntesis contemplativa. Lo bello no es el resplandor o la atracción fugaz, sino una persistencia, una fosforescencia de las cosas (…) la época de las prisas (…) no tiene ningún acceso a lo bello o lo verdadero” (2015, p. 75). Este trabajo, por lo tanto, no es solo una propuesta compositiva, sino también un manifiesto que aboga por un retorno a la apreciación de la belleza en la música, forjada a través de la dedicación y la reflexión.</w:t>
      </w:r>
    </w:p>
    <w:p w14:paraId="7BE11905"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La música, como expresión cultural dinámica, se transforma a lo largo de la historia en respuesta a los contextos sociales, económicos, políticos y religiosos. Ejemplos de esta maleabilidad incluyen el surgimiento de las músicas nacionalistas europeas (Burkholder </w:t>
      </w:r>
      <w:r>
        <w:rPr>
          <w:rFonts w:ascii="Times New Roman" w:eastAsia="Times New Roman" w:hAnsi="Times New Roman" w:cs="Times New Roman"/>
          <w:i/>
          <w:iCs/>
        </w:rPr>
        <w:t>et al</w:t>
      </w:r>
      <w:r>
        <w:rPr>
          <w:rFonts w:ascii="Times New Roman" w:eastAsia="Times New Roman" w:hAnsi="Times New Roman" w:cs="Times New Roman"/>
        </w:rPr>
        <w:t>., 2015) o el </w:t>
      </w:r>
      <w:r>
        <w:rPr>
          <w:rFonts w:ascii="Times New Roman" w:eastAsia="Times New Roman" w:hAnsi="Times New Roman" w:cs="Times New Roman"/>
          <w:i/>
          <w:iCs/>
        </w:rPr>
        <w:t>blues</w:t>
      </w:r>
      <w:r>
        <w:rPr>
          <w:rFonts w:ascii="Times New Roman" w:eastAsia="Times New Roman" w:hAnsi="Times New Roman" w:cs="Times New Roman"/>
        </w:rPr>
        <w:t xml:space="preserve"> como expresión de la melancolía de la esclavitud afroamericana (Berendt </w:t>
      </w:r>
      <w:r>
        <w:rPr>
          <w:rFonts w:ascii="Times New Roman" w:eastAsia="Times New Roman" w:hAnsi="Times New Roman" w:cs="Times New Roman"/>
          <w:i/>
          <w:iCs/>
        </w:rPr>
        <w:t>et al</w:t>
      </w:r>
      <w:r>
        <w:rPr>
          <w:rFonts w:ascii="Times New Roman" w:eastAsia="Times New Roman" w:hAnsi="Times New Roman" w:cs="Times New Roman"/>
        </w:rPr>
        <w:t>., 1994). Más allá de su función estética, la música ha sido un vehículo para la comunicación de ideas y sentimientos, reflejo de la realidad social y parte integral de la identidad humana (Davies, 2017). Esta profunda conexión con la psique y la sociedad humana, evidente incluso en la concepción griega del </w:t>
      </w:r>
      <w:r>
        <w:rPr>
          <w:rFonts w:ascii="Times New Roman" w:eastAsia="Times New Roman" w:hAnsi="Times New Roman" w:cs="Times New Roman"/>
          <w:i/>
          <w:iCs/>
        </w:rPr>
        <w:t>ethos</w:t>
      </w:r>
      <w:r>
        <w:rPr>
          <w:rFonts w:ascii="Times New Roman" w:eastAsia="Times New Roman" w:hAnsi="Times New Roman" w:cs="Times New Roman"/>
        </w:rPr>
        <w:t xml:space="preserve"> musical (Burkholder </w:t>
      </w:r>
      <w:r>
        <w:rPr>
          <w:rFonts w:ascii="Times New Roman" w:eastAsia="Times New Roman" w:hAnsi="Times New Roman" w:cs="Times New Roman"/>
          <w:i/>
          <w:iCs/>
        </w:rPr>
        <w:t>et al</w:t>
      </w:r>
      <w:r>
        <w:rPr>
          <w:rFonts w:ascii="Times New Roman" w:eastAsia="Times New Roman" w:hAnsi="Times New Roman" w:cs="Times New Roman"/>
        </w:rPr>
        <w:t>., 2015), es la fuerza motriz detrás de la exploración compositiva aquí presentada.</w:t>
      </w:r>
    </w:p>
    <w:p w14:paraId="0589BFF8"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La presente obra, </w:t>
      </w:r>
      <w:r>
        <w:rPr>
          <w:rFonts w:ascii="Times New Roman" w:eastAsia="Times New Roman" w:hAnsi="Times New Roman" w:cs="Times New Roman"/>
          <w:i/>
          <w:iCs/>
        </w:rPr>
        <w:t>El transcurso de un día soleado en cinco piezas modales</w:t>
      </w:r>
      <w:r>
        <w:rPr>
          <w:rFonts w:ascii="Times New Roman" w:eastAsia="Times New Roman" w:hAnsi="Times New Roman" w:cs="Times New Roman"/>
        </w:rPr>
        <w:t xml:space="preserve">, tiene como objetivo traducir al lenguaje musical la experiencia visual del paso de la luz a la oscuridad a lo largo de un día, mediante la gradación de brillo a oscuridad de los modos del sistema modal diatónico propuesta por Ron Miller (1996) y Vincent Persichetti (1995). La elección de un trío de violín, violonchelo y piano fue fundamental, dado que la versatilidad tímbrica y sonora de estos instrumentos permite una vasta exploración de las cualidades de </w:t>
      </w:r>
      <w:r>
        <w:rPr>
          <w:rFonts w:ascii="Times New Roman" w:eastAsia="Times New Roman" w:hAnsi="Times New Roman" w:cs="Times New Roman"/>
        </w:rPr>
        <w:lastRenderedPageBreak/>
        <w:t>brillo y oscuridad. La composición se concibe como una herramienta para establecer un diálogo entre modalidades sensoriales, integrando la visión y la audición en una experiencia sinestésica.</w:t>
      </w:r>
    </w:p>
    <w:p w14:paraId="109636D5"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Los objetivos específicos que guiaron este proyecto fueron: (1) Describir los diversos acercamientos teóricos, provenientes de distintas disciplinas, a las propuestas de brillo y oscuridad en la música. (2) Organizar los modos del sistema modal diatónico según la teoría de brillo a oscuridad, tal como la exponen los autores Persichetti y Miller. (3) Componer cinco piezas musicales que plasmen sonoramente el ciclo lumínico de un día, utilizando los modos seleccionados y explorando recursos compositivos avanzados. (4) Realizar un análisis exhaustivo de cada pieza, detallando los modos utilizados, el desarrollo melódico y armónico, los recursos expresivos y la estructura formal. (5) Analizar críticamente la propuesta original de brillo</w:t>
      </w:r>
      <w:r>
        <w:rPr>
          <w:rFonts w:ascii="Times New Roman" w:eastAsia="Times New Roman" w:hAnsi="Times New Roman" w:cs="Times New Roman"/>
          <w:i/>
          <w:iCs/>
          <w:sz w:val="20"/>
          <w:szCs w:val="20"/>
        </w:rPr>
        <w:t>–</w:t>
      </w:r>
      <w:r>
        <w:rPr>
          <w:rFonts w:ascii="Times New Roman" w:eastAsia="Times New Roman" w:hAnsi="Times New Roman" w:cs="Times New Roman"/>
        </w:rPr>
        <w:t>oscuridad, examinando en qué medida la amplitud de los intervalos interviene en la gradación perceptiva de los modos diatónicos.</w:t>
      </w:r>
    </w:p>
    <w:p w14:paraId="6DC24385"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Este artículo presenta en primer lugar los antecedentes teóricos y compositivos que enmarcan la obra. Posteriormente, se detalla la metodología compositiva y se describe la conceptualización de las cinco piezas. La sección central está dedicada al análisis pormenorizado de cada movimiento, ilustrando el uso de modos, motivos y técnicas compositivas. Finalmente, se presentan las conclusiones, destacando los aportes del trabajo y las perspectivas para futuras investigaciones, especialmente en lo que respecta a la redefinición del brillo y la oscuridad musical en función de la estructura interválica.</w:t>
      </w:r>
    </w:p>
    <w:p w14:paraId="50A543B8" w14:textId="77777777" w:rsidR="002360C3" w:rsidRDefault="002360C3">
      <w:pPr>
        <w:spacing w:line="276" w:lineRule="auto"/>
        <w:jc w:val="both"/>
        <w:rPr>
          <w:rFonts w:ascii="Times New Roman" w:eastAsia="Times New Roman" w:hAnsi="Times New Roman" w:cs="Times New Roman"/>
        </w:rPr>
      </w:pPr>
    </w:p>
    <w:p w14:paraId="6F23D42A" w14:textId="77777777" w:rsidR="002360C3" w:rsidRDefault="00000000">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Antecedentes teóricos y compositivos: trazando el vínculo entre sonoridad y luz</w:t>
      </w:r>
    </w:p>
    <w:p w14:paraId="4C8F45CB"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La exploración de la relación entre lo sonoro y lo visual, particularmente el vínculo entre la música y el color o la luz, ha sido un tema recurrente en diversas disciplinas, aunque con una exploración limitada en el ámbito de la teoría musical académica. Las investigaciones existentes, como las de González Compeán (2011) o Pérez Fuster y Gilabert Pérez (2010), tienden a centrarse en la asociación de notas musicales, tonalidades y cualidades tímbricas con colores específicos, mencionando el brillo solo de manera ocasional. Este trabajo se distingue al abordar la conceptualización del “brillo” y la “oscuridad” sonora como cualidades intrínsecas, no solo como una analogía de color, sustentada principalmente en las características espectrales del sonido (Saitis &amp; Siedenburg, 2020).</w:t>
      </w:r>
    </w:p>
    <w:p w14:paraId="2F756439"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En este contexto, las propuestas de Vincent Persichetti (1995) en su obra </w:t>
      </w:r>
      <w:r>
        <w:rPr>
          <w:rFonts w:ascii="Times New Roman" w:eastAsia="Times New Roman" w:hAnsi="Times New Roman" w:cs="Times New Roman"/>
          <w:i/>
          <w:iCs/>
        </w:rPr>
        <w:t>Armonía del Siglo XX</w:t>
      </w:r>
      <w:r>
        <w:rPr>
          <w:rFonts w:ascii="Times New Roman" w:eastAsia="Times New Roman" w:hAnsi="Times New Roman" w:cs="Times New Roman"/>
        </w:rPr>
        <w:t> y Ron Miller (1996) en </w:t>
      </w:r>
      <w:r>
        <w:rPr>
          <w:rFonts w:ascii="Times New Roman" w:eastAsia="Times New Roman" w:hAnsi="Times New Roman" w:cs="Times New Roman"/>
          <w:i/>
          <w:iCs/>
        </w:rPr>
        <w:t>Modal Jazz Composition &amp; Harmony</w:t>
      </w:r>
      <w:r>
        <w:rPr>
          <w:rFonts w:ascii="Times New Roman" w:eastAsia="Times New Roman" w:hAnsi="Times New Roman" w:cs="Times New Roman"/>
        </w:rPr>
        <w:t xml:space="preserve"> constituyen un pilar fundamental para esta investigación. Ambos autores proponen una relación directa entre la </w:t>
      </w:r>
      <w:r>
        <w:rPr>
          <w:rFonts w:ascii="Times New Roman" w:eastAsia="Times New Roman" w:hAnsi="Times New Roman" w:cs="Times New Roman"/>
        </w:rPr>
        <w:lastRenderedPageBreak/>
        <w:t xml:space="preserve">tensión producida por los grados de cada modo y el contraste entre lo brillante y lo sombrío. Persichetti, en particular, establece un orden jerárquico de los modos diatónicos del sistema modal diatónico, postulando que el modo lidio es el más brillante y el modo locrio, el más sombrío. Su razonamiento se basa en la cantidad de bemoles o sostenidos en la armadura del modo: </w:t>
      </w:r>
    </w:p>
    <w:p w14:paraId="4592B2A0" w14:textId="77777777" w:rsidR="002360C3" w:rsidRDefault="002360C3">
      <w:pPr>
        <w:spacing w:line="276" w:lineRule="auto"/>
        <w:ind w:firstLine="720"/>
        <w:jc w:val="both"/>
        <w:rPr>
          <w:rFonts w:ascii="Times New Roman" w:eastAsia="Times New Roman" w:hAnsi="Times New Roman" w:cs="Times New Roman"/>
        </w:rPr>
      </w:pPr>
    </w:p>
    <w:p w14:paraId="27DB8EC0" w14:textId="77777777" w:rsidR="002360C3" w:rsidRDefault="00000000">
      <w:pPr>
        <w:spacing w:line="276" w:lineRule="auto"/>
        <w:ind w:left="705"/>
        <w:jc w:val="both"/>
        <w:rPr>
          <w:rFonts w:ascii="Times New Roman" w:eastAsia="Times New Roman" w:hAnsi="Times New Roman" w:cs="Times New Roman"/>
          <w:sz w:val="22"/>
          <w:szCs w:val="22"/>
        </w:rPr>
      </w:pPr>
      <w:commentRangeStart w:id="12"/>
      <w:r>
        <w:rPr>
          <w:rFonts w:ascii="Times New Roman" w:eastAsia="Times New Roman" w:hAnsi="Times New Roman" w:cs="Times New Roman"/>
          <w:sz w:val="22"/>
          <w:szCs w:val="22"/>
        </w:rPr>
        <w:t>El mayor número de bemoles que puede ser aplicado a una escala modal en un tono particular producirá el modo más “sombrío”, el locrio. Restando bemoles (y entonces, añadiendo sostenidos) en el orden diatónico de escritura se producirá una ordenación de los modos de “más sombrío” a “más brillante”. (Persichetti, 1995, p.33)</w:t>
      </w:r>
      <w:commentRangeEnd w:id="12"/>
      <w:r w:rsidR="00863F61">
        <w:rPr>
          <w:rStyle w:val="Refdecomentario"/>
          <w:rFonts w:ascii="Times New Roman" w:eastAsia="Times New Roman" w:hAnsi="Times New Roman" w:cs="Times New Roman"/>
          <w:sz w:val="22"/>
          <w:szCs w:val="22"/>
        </w:rPr>
        <w:commentReference w:id="12"/>
      </w:r>
    </w:p>
    <w:p w14:paraId="2D00216F" w14:textId="77777777" w:rsidR="002360C3" w:rsidRDefault="002360C3">
      <w:pPr>
        <w:spacing w:line="276" w:lineRule="auto"/>
        <w:jc w:val="both"/>
        <w:rPr>
          <w:rFonts w:ascii="Times New Roman" w:eastAsia="Times New Roman" w:hAnsi="Times New Roman" w:cs="Times New Roman"/>
        </w:rPr>
      </w:pPr>
    </w:p>
    <w:p w14:paraId="790F7650"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Miller (1996), por su parte, refuerza esta idea al señalar que el desplazamiento de los semitonos de un modo de derecha a izquierda aumenta la oscuridad, y que el incremento de la opacidad es una realización del efecto de los bemoles.</w:t>
      </w:r>
    </w:p>
    <w:p w14:paraId="613AD6D8"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Sin embargo, uno de los aportes de este trabajo consiste en reinterpretar esta gradación desde la práctica compositiva. En Persichetti (1995) y Miller (1996), los bemoles y sostenidos no constituyen por sí mismos la causa del carácter oscuro o brillante, sino que representan, sobre un centro común, las transformaciones interválicas que distinguen un modo de otro. Por ello, que el </w:t>
      </w:r>
      <w:r>
        <w:rPr>
          <w:rFonts w:ascii="Times New Roman" w:eastAsia="Times New Roman" w:hAnsi="Times New Roman" w:cs="Times New Roman"/>
          <w:i/>
          <w:iCs/>
        </w:rPr>
        <w:t>si</w:t>
      </w:r>
      <w:r>
        <w:rPr>
          <w:rFonts w:ascii="Times New Roman" w:eastAsia="Times New Roman" w:hAnsi="Times New Roman" w:cs="Times New Roman"/>
        </w:rPr>
        <w:t xml:space="preserve"> locrio no presente alteraciones, el </w:t>
      </w:r>
      <w:commentRangeStart w:id="13"/>
      <w:r>
        <w:rPr>
          <w:rFonts w:ascii="Times New Roman" w:eastAsia="Times New Roman" w:hAnsi="Times New Roman" w:cs="Times New Roman"/>
          <w:i/>
          <w:iCs/>
        </w:rPr>
        <w:t>re</w:t>
      </w:r>
      <w:commentRangeEnd w:id="13"/>
      <w:r w:rsidR="006D4F2F">
        <w:rPr>
          <w:rStyle w:val="Refdecomentario"/>
          <w:rFonts w:ascii="Times New Roman" w:eastAsia="Times New Roman" w:hAnsi="Times New Roman" w:cs="Times New Roman"/>
          <w:sz w:val="24"/>
          <w:szCs w:val="24"/>
        </w:rPr>
        <w:commentReference w:id="13"/>
      </w:r>
      <w:r>
        <w:rPr>
          <w:rFonts w:ascii="Times New Roman" w:eastAsia="Times New Roman" w:hAnsi="Times New Roman" w:cs="Times New Roman"/>
        </w:rPr>
        <w:t xml:space="preserve"> sostenido locrio contenga sostenidos y el </w:t>
      </w:r>
      <w:r>
        <w:rPr>
          <w:rFonts w:ascii="Times New Roman" w:eastAsia="Times New Roman" w:hAnsi="Times New Roman" w:cs="Times New Roman"/>
          <w:i/>
          <w:iCs/>
        </w:rPr>
        <w:t>re</w:t>
      </w:r>
      <w:r>
        <w:rPr>
          <w:rFonts w:ascii="Times New Roman" w:eastAsia="Times New Roman" w:hAnsi="Times New Roman" w:cs="Times New Roman"/>
        </w:rPr>
        <w:t xml:space="preserve"> bemol lidio bemoles no contradice sus planteamientos, sino que revela que la cualidad modal se conserva al transponer su estructura. A partir de esta premisa, la experiencia compositiva permitió poner en primer plano la incidencia de la amplitud y la disposición de los intervalos en la percepción de brillo u oscuridad. El aporte del trabajo se delimita, por tanto, como una reinterpretación compositiva de estos principios, orientada a explorar sus posibilidades expresivas en la construcción de la obra.</w:t>
      </w:r>
    </w:p>
    <w:p w14:paraId="2950F902"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Históricamente, la aplicación de escalas modales para lograr sonoridades específicas ha sido una práctica común en la composición musical, especialmente en periodos como el impresionismo y en las músicas académicas de finales del siglo XIX y principios del XX. Ejemplos notables incluyen la obra para piano </w:t>
      </w:r>
      <w:r>
        <w:rPr>
          <w:rFonts w:ascii="Times New Roman" w:eastAsia="Times New Roman" w:hAnsi="Times New Roman" w:cs="Times New Roman"/>
          <w:i/>
          <w:iCs/>
        </w:rPr>
        <w:t>Visiones y Profecías</w:t>
      </w:r>
      <w:r>
        <w:rPr>
          <w:rFonts w:ascii="Times New Roman" w:eastAsia="Times New Roman" w:hAnsi="Times New Roman" w:cs="Times New Roman"/>
        </w:rPr>
        <w:t> de Ernest Bloch, donde se aprecian exploraciones modales; el movimiento “</w:t>
      </w:r>
      <w:r>
        <w:rPr>
          <w:rFonts w:ascii="Times New Roman" w:eastAsia="Times New Roman" w:hAnsi="Times New Roman" w:cs="Times New Roman"/>
          <w:i/>
          <w:iCs/>
        </w:rPr>
        <w:t>Marte</w:t>
      </w:r>
      <w:r>
        <w:rPr>
          <w:rFonts w:ascii="Times New Roman" w:eastAsia="Times New Roman" w:hAnsi="Times New Roman" w:cs="Times New Roman"/>
        </w:rPr>
        <w:t>” de </w:t>
      </w:r>
      <w:r>
        <w:rPr>
          <w:rFonts w:ascii="Times New Roman" w:eastAsia="Times New Roman" w:hAnsi="Times New Roman" w:cs="Times New Roman"/>
          <w:i/>
          <w:iCs/>
        </w:rPr>
        <w:t>Los Planetas</w:t>
      </w:r>
      <w:r>
        <w:rPr>
          <w:rFonts w:ascii="Times New Roman" w:eastAsia="Times New Roman" w:hAnsi="Times New Roman" w:cs="Times New Roman"/>
        </w:rPr>
        <w:t xml:space="preserve"> de Gustav Holst, que hace uso del modo frigio para evocar su carácter bélico; o el </w:t>
      </w:r>
      <w:r>
        <w:rPr>
          <w:rFonts w:ascii="Times New Roman" w:eastAsia="Times New Roman" w:hAnsi="Times New Roman" w:cs="Times New Roman"/>
          <w:i/>
          <w:iCs/>
        </w:rPr>
        <w:t xml:space="preserve">Preludio N.º 1 </w:t>
      </w:r>
      <w:r>
        <w:rPr>
          <w:rFonts w:ascii="Times New Roman" w:eastAsia="Times New Roman" w:hAnsi="Times New Roman" w:cs="Times New Roman"/>
        </w:rPr>
        <w:t xml:space="preserve">para Piano de George Gershwin, que emplea el modo </w:t>
      </w:r>
      <w:r>
        <w:rPr>
          <w:rFonts w:ascii="Times New Roman" w:eastAsia="Times New Roman" w:hAnsi="Times New Roman" w:cs="Times New Roman"/>
          <w:i/>
          <w:iCs/>
        </w:rPr>
        <w:t>fa</w:t>
      </w:r>
      <w:r>
        <w:rPr>
          <w:rFonts w:ascii="Times New Roman" w:eastAsia="Times New Roman" w:hAnsi="Times New Roman" w:cs="Times New Roman"/>
        </w:rPr>
        <w:t xml:space="preserve"> mixolidio, característico del jazz y el </w:t>
      </w:r>
      <w:r>
        <w:rPr>
          <w:rFonts w:ascii="Times New Roman" w:eastAsia="Times New Roman" w:hAnsi="Times New Roman" w:cs="Times New Roman"/>
          <w:i/>
          <w:iCs/>
        </w:rPr>
        <w:t>blues</w:t>
      </w:r>
      <w:r>
        <w:rPr>
          <w:rFonts w:ascii="Times New Roman" w:eastAsia="Times New Roman" w:hAnsi="Times New Roman" w:cs="Times New Roman"/>
        </w:rPr>
        <w:t xml:space="preserve">. Claude Debussy, un maestro de la sonoridad y la atmósfera, utilizó el modo </w:t>
      </w:r>
      <w:r>
        <w:rPr>
          <w:rFonts w:ascii="Times New Roman" w:eastAsia="Times New Roman" w:hAnsi="Times New Roman" w:cs="Times New Roman"/>
          <w:i/>
          <w:iCs/>
        </w:rPr>
        <w:t>do</w:t>
      </w:r>
      <w:r>
        <w:rPr>
          <w:rFonts w:ascii="Times New Roman" w:eastAsia="Times New Roman" w:hAnsi="Times New Roman" w:cs="Times New Roman"/>
        </w:rPr>
        <w:t xml:space="preserve"> locrio al final de su </w:t>
      </w:r>
      <w:r>
        <w:rPr>
          <w:rFonts w:ascii="Times New Roman" w:eastAsia="Times New Roman" w:hAnsi="Times New Roman" w:cs="Times New Roman"/>
          <w:i/>
          <w:iCs/>
        </w:rPr>
        <w:t>Suite Pour Le Piano</w:t>
      </w:r>
      <w:r>
        <w:rPr>
          <w:rFonts w:ascii="Times New Roman" w:eastAsia="Times New Roman" w:hAnsi="Times New Roman" w:cs="Times New Roman"/>
        </w:rPr>
        <w:t xml:space="preserve"> y el </w:t>
      </w:r>
      <w:r>
        <w:rPr>
          <w:rFonts w:ascii="Times New Roman" w:eastAsia="Times New Roman" w:hAnsi="Times New Roman" w:cs="Times New Roman"/>
          <w:i/>
          <w:iCs/>
        </w:rPr>
        <w:t>do</w:t>
      </w:r>
      <w:r>
        <w:rPr>
          <w:rFonts w:ascii="Times New Roman" w:eastAsia="Times New Roman" w:hAnsi="Times New Roman" w:cs="Times New Roman"/>
        </w:rPr>
        <w:t xml:space="preserve"> sostenido frigio en la Rapsodia para Saxofón, </w:t>
      </w:r>
      <w:r>
        <w:rPr>
          <w:rFonts w:ascii="Times New Roman" w:eastAsia="Times New Roman" w:hAnsi="Times New Roman" w:cs="Times New Roman"/>
        </w:rPr>
        <w:lastRenderedPageBreak/>
        <w:t>demostrando la capacidad de estos modos para generar ambientes distintivos. Estos compositores, a través de su práctica, legaron un vasto repertorio de sonoridades modales que, si bien no siempre fueron acompañadas de textos descriptivos que explicaran su intención de brillo</w:t>
      </w:r>
      <w:r>
        <w:rPr>
          <w:rFonts w:ascii="Times New Roman" w:eastAsia="Times New Roman" w:hAnsi="Times New Roman" w:cs="Times New Roman"/>
          <w:i/>
          <w:iCs/>
          <w:sz w:val="20"/>
          <w:szCs w:val="20"/>
        </w:rPr>
        <w:t>–</w:t>
      </w:r>
      <w:r>
        <w:rPr>
          <w:rFonts w:ascii="Times New Roman" w:eastAsia="Times New Roman" w:hAnsi="Times New Roman" w:cs="Times New Roman"/>
        </w:rPr>
        <w:t>oscuridad, evidencian una exploración empírica de sus cualidades pues la música en gran medida, ha sido primero tocada y después analizada, lo que subraya la importancia de la experiencia práctica en la formulación de teorías musicales.</w:t>
      </w:r>
    </w:p>
    <w:p w14:paraId="226D81B8"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Este trabajo, en su totalidad, no solo pretende documentar una composición que explora estas relaciones, sino también ofrecer una propuesta escrita y sistematizada de cómo los modos del sistema modal diatónico pueden ser seleccionados y ordenados para crear un “degradado sonoro” que simule el ciclo lumínico de un día. La elección de la fundamental para cada modo también fue guiada por las asociaciones emocionales que Christian Schubart (1806) atribuyó a las tonalidades en su </w:t>
      </w:r>
      <w:r>
        <w:rPr>
          <w:rFonts w:ascii="Times New Roman" w:eastAsia="Times New Roman" w:hAnsi="Times New Roman" w:cs="Times New Roman"/>
          <w:i/>
          <w:iCs/>
        </w:rPr>
        <w:t>Ideen zu einer Aesthetik der Tonkunst</w:t>
      </w:r>
      <w:r>
        <w:rPr>
          <w:rFonts w:ascii="Times New Roman" w:eastAsia="Times New Roman" w:hAnsi="Times New Roman" w:cs="Times New Roman"/>
        </w:rPr>
        <w:t>. Schubart vinculaba las tonalidades con bemoles a la melancolía, con sostenidos a la fuerza y la pasión y las tonalidades sin alteraciones a la simplicidad e inocencia. Si bien esto está vinculado al sistema tonal, su espíritu de asociación entre cualidades musicales y estados de ánimo o percepciones sensoriales fue adaptado para la elección modal en este contexto.</w:t>
      </w:r>
    </w:p>
    <w:p w14:paraId="5E1627F7"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Las caracterizaciones empleadas en la propuesta compositiva proceden de dos niveles. Persichetti (1995) y Miller (1996) ordenan los modos diatónicos, de mayor a menor brillo, como lidio, jónico, mixolidio, dórico, eólico, frigio y locrio. Miller también les atribuye cualidades emocionales generales, aunque advierte que estas pueden variar por la influencia del tempo, la tesitura, la disposición de los acordes, el ritmo armónico y la melodía. A partir de este marco, las asociaciones de los modos con los momentos del día y algunas cualidades expresivas específicas corresponden a la interpretación desarrollada durante el proceso compositivo de esta obra.</w:t>
      </w:r>
    </w:p>
    <w:p w14:paraId="13080A72" w14:textId="77777777" w:rsidR="002360C3" w:rsidRDefault="002360C3">
      <w:pPr>
        <w:spacing w:line="276" w:lineRule="auto"/>
        <w:jc w:val="both"/>
        <w:rPr>
          <w:rFonts w:ascii="Times New Roman" w:eastAsia="Times New Roman" w:hAnsi="Times New Roman" w:cs="Times New Roman"/>
        </w:rPr>
      </w:pPr>
    </w:p>
    <w:p w14:paraId="3685777B" w14:textId="77777777" w:rsidR="002360C3" w:rsidRDefault="00000000">
      <w:pPr>
        <w:numPr>
          <w:ilvl w:val="0"/>
          <w:numId w:val="2"/>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Amanecer</w:t>
      </w:r>
      <w:r>
        <w:rPr>
          <w:rFonts w:ascii="Times New Roman" w:eastAsia="Times New Roman" w:hAnsi="Times New Roman" w:cs="Times New Roman"/>
        </w:rPr>
        <w:t xml:space="preserve">: Representa el inicio del día mediante una transición desde la oscuridad hacia una claridad incipiente. Comienza con el </w:t>
      </w:r>
      <w:r>
        <w:rPr>
          <w:rFonts w:ascii="Times New Roman" w:eastAsia="Times New Roman" w:hAnsi="Times New Roman" w:cs="Times New Roman"/>
          <w:i/>
          <w:iCs/>
        </w:rPr>
        <w:t>si</w:t>
      </w:r>
      <w:r>
        <w:rPr>
          <w:rFonts w:ascii="Times New Roman" w:eastAsia="Times New Roman" w:hAnsi="Times New Roman" w:cs="Times New Roman"/>
        </w:rPr>
        <w:t xml:space="preserve"> frigio, situado cerca del extremo oscuro de la gradación modal y caracterizado por su segunda menor. Posteriormente aparece el </w:t>
      </w:r>
      <w:r>
        <w:rPr>
          <w:rFonts w:ascii="Times New Roman" w:eastAsia="Times New Roman" w:hAnsi="Times New Roman" w:cs="Times New Roman"/>
          <w:i/>
          <w:iCs/>
        </w:rPr>
        <w:t>la</w:t>
      </w:r>
      <w:r>
        <w:rPr>
          <w:rFonts w:ascii="Times New Roman" w:eastAsia="Times New Roman" w:hAnsi="Times New Roman" w:cs="Times New Roman"/>
        </w:rPr>
        <w:t xml:space="preserve"> eólico, ubicado un grado más cerca del polo brillante. En la obra, este tránsito se interpreta como el paso desde la oscuridad residual de la noche hacia los primeros indicios de luz.</w:t>
      </w:r>
    </w:p>
    <w:p w14:paraId="394568C6" w14:textId="77777777" w:rsidR="002360C3" w:rsidRDefault="00000000">
      <w:pPr>
        <w:numPr>
          <w:ilvl w:val="0"/>
          <w:numId w:val="2"/>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Mañana</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 xml:space="preserve">Simboliza el incremento progresivo del brillo. Se emplean el </w:t>
      </w:r>
      <w:r>
        <w:rPr>
          <w:rFonts w:ascii="Times New Roman" w:eastAsia="Times New Roman" w:hAnsi="Times New Roman" w:cs="Times New Roman"/>
          <w:i/>
          <w:iCs/>
        </w:rPr>
        <w:t>do</w:t>
      </w:r>
      <w:r>
        <w:rPr>
          <w:rFonts w:ascii="Times New Roman" w:eastAsia="Times New Roman" w:hAnsi="Times New Roman" w:cs="Times New Roman"/>
        </w:rPr>
        <w:t xml:space="preserve"> dórico, considerado por Persichetti como el punto medio de la gradación y distinguido del eólico por su sexta mayor, y el </w:t>
      </w:r>
      <w:r>
        <w:rPr>
          <w:rFonts w:ascii="Times New Roman" w:eastAsia="Times New Roman" w:hAnsi="Times New Roman" w:cs="Times New Roman"/>
          <w:i/>
          <w:iCs/>
        </w:rPr>
        <w:t>sol</w:t>
      </w:r>
      <w:r>
        <w:rPr>
          <w:rFonts w:ascii="Times New Roman" w:eastAsia="Times New Roman" w:hAnsi="Times New Roman" w:cs="Times New Roman"/>
        </w:rPr>
        <w:t xml:space="preserve"> mixolidio, situado más cerca del extremo brillante. </w:t>
      </w:r>
      <w:r>
        <w:rPr>
          <w:rFonts w:ascii="Times New Roman" w:eastAsia="Times New Roman" w:hAnsi="Times New Roman" w:cs="Times New Roman"/>
        </w:rPr>
        <w:lastRenderedPageBreak/>
        <w:t>La progresión entre ambos modos se asocia compositivamente con el aumento de la luminosidad matinal.</w:t>
      </w:r>
    </w:p>
    <w:p w14:paraId="36D14B86" w14:textId="77777777" w:rsidR="002360C3" w:rsidRDefault="00000000">
      <w:pPr>
        <w:numPr>
          <w:ilvl w:val="0"/>
          <w:numId w:val="2"/>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Medio Día</w:t>
      </w:r>
      <w:r>
        <w:rPr>
          <w:rFonts w:ascii="Times New Roman" w:eastAsia="Times New Roman" w:hAnsi="Times New Roman" w:cs="Times New Roman"/>
        </w:rPr>
        <w:t xml:space="preserve">: Encarna el punto culminante del recorrido lumínico. Se inicia con el </w:t>
      </w:r>
      <w:r>
        <w:rPr>
          <w:rFonts w:ascii="Times New Roman" w:eastAsia="Times New Roman" w:hAnsi="Times New Roman" w:cs="Times New Roman"/>
          <w:i/>
          <w:iCs/>
        </w:rPr>
        <w:t>si</w:t>
      </w:r>
      <w:r>
        <w:rPr>
          <w:rFonts w:ascii="Times New Roman" w:eastAsia="Times New Roman" w:hAnsi="Times New Roman" w:cs="Times New Roman"/>
        </w:rPr>
        <w:t xml:space="preserve"> bemol jónico, ubicado cerca del extremo brillante y caracterizado por Miller como estable y apacible; continúa con el </w:t>
      </w:r>
      <w:r>
        <w:rPr>
          <w:rFonts w:ascii="Times New Roman" w:eastAsia="Times New Roman" w:hAnsi="Times New Roman" w:cs="Times New Roman"/>
          <w:i/>
          <w:iCs/>
        </w:rPr>
        <w:t>re</w:t>
      </w:r>
      <w:r>
        <w:rPr>
          <w:rFonts w:ascii="Times New Roman" w:eastAsia="Times New Roman" w:hAnsi="Times New Roman" w:cs="Times New Roman"/>
        </w:rPr>
        <w:t xml:space="preserve"> lidio, el modo más brillante de la gradación, cuya cuarta aumentada fue interpretada en la obra como luminosa y etérea; y concluye con el </w:t>
      </w:r>
      <w:r>
        <w:rPr>
          <w:rFonts w:ascii="Times New Roman" w:eastAsia="Times New Roman" w:hAnsi="Times New Roman" w:cs="Times New Roman"/>
          <w:i/>
          <w:iCs/>
        </w:rPr>
        <w:t>si</w:t>
      </w:r>
      <w:r>
        <w:rPr>
          <w:rFonts w:ascii="Times New Roman" w:eastAsia="Times New Roman" w:hAnsi="Times New Roman" w:cs="Times New Roman"/>
        </w:rPr>
        <w:t xml:space="preserve"> jónico, que permite conservar la claridad alcanzada.</w:t>
      </w:r>
    </w:p>
    <w:p w14:paraId="164B141F" w14:textId="77777777" w:rsidR="002360C3" w:rsidRDefault="00000000">
      <w:pPr>
        <w:numPr>
          <w:ilvl w:val="0"/>
          <w:numId w:val="2"/>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Atardecer</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 xml:space="preserve">Describe el alejamiento gradual de la luminosidad. El recorrido comienza con el </w:t>
      </w:r>
      <w:r>
        <w:rPr>
          <w:rFonts w:ascii="Times New Roman" w:eastAsia="Times New Roman" w:hAnsi="Times New Roman" w:cs="Times New Roman"/>
          <w:i/>
          <w:iCs/>
        </w:rPr>
        <w:t>fa</w:t>
      </w:r>
      <w:r>
        <w:rPr>
          <w:rFonts w:ascii="Times New Roman" w:eastAsia="Times New Roman" w:hAnsi="Times New Roman" w:cs="Times New Roman"/>
        </w:rPr>
        <w:t xml:space="preserve"> mixolidio, continúa con el </w:t>
      </w:r>
      <w:r>
        <w:rPr>
          <w:rFonts w:ascii="Times New Roman" w:eastAsia="Times New Roman" w:hAnsi="Times New Roman" w:cs="Times New Roman"/>
          <w:i/>
          <w:iCs/>
        </w:rPr>
        <w:t>la</w:t>
      </w:r>
      <w:r>
        <w:rPr>
          <w:rFonts w:ascii="Times New Roman" w:eastAsia="Times New Roman" w:hAnsi="Times New Roman" w:cs="Times New Roman"/>
        </w:rPr>
        <w:t xml:space="preserve"> dórico y llega al </w:t>
      </w:r>
      <w:r>
        <w:rPr>
          <w:rFonts w:ascii="Times New Roman" w:eastAsia="Times New Roman" w:hAnsi="Times New Roman" w:cs="Times New Roman"/>
          <w:i/>
          <w:iCs/>
        </w:rPr>
        <w:t>si</w:t>
      </w:r>
      <w:r>
        <w:rPr>
          <w:rFonts w:ascii="Times New Roman" w:eastAsia="Times New Roman" w:hAnsi="Times New Roman" w:cs="Times New Roman"/>
        </w:rPr>
        <w:t xml:space="preserve"> bemol eólico. Esta sucesión sigue el orden descendente propuesto por Persichetti y Miller. En la obra, el cambio hacia el eólico —caracterizado por Miller como melancólico y sombrío— se interpreta como la pérdida progresiva de la luz y la proximidad de la noche.</w:t>
      </w:r>
    </w:p>
    <w:p w14:paraId="594FA4D4" w14:textId="77777777" w:rsidR="002360C3" w:rsidRDefault="00000000">
      <w:pPr>
        <w:numPr>
          <w:ilvl w:val="0"/>
          <w:numId w:val="2"/>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Noche</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 xml:space="preserve">Representa el extremo oscuro de la obra. Se emplean el </w:t>
      </w:r>
      <w:r>
        <w:rPr>
          <w:rFonts w:ascii="Times New Roman" w:eastAsia="Times New Roman" w:hAnsi="Times New Roman" w:cs="Times New Roman"/>
          <w:i/>
          <w:iCs/>
        </w:rPr>
        <w:t>fa</w:t>
      </w:r>
      <w:r>
        <w:rPr>
          <w:rFonts w:ascii="Times New Roman" w:eastAsia="Times New Roman" w:hAnsi="Times New Roman" w:cs="Times New Roman"/>
        </w:rPr>
        <w:t xml:space="preserve"> frigio y el </w:t>
      </w:r>
      <w:r>
        <w:rPr>
          <w:rFonts w:ascii="Times New Roman" w:eastAsia="Times New Roman" w:hAnsi="Times New Roman" w:cs="Times New Roman"/>
          <w:i/>
          <w:iCs/>
        </w:rPr>
        <w:t>sol</w:t>
      </w:r>
      <w:r>
        <w:rPr>
          <w:rFonts w:ascii="Times New Roman" w:eastAsia="Times New Roman" w:hAnsi="Times New Roman" w:cs="Times New Roman"/>
        </w:rPr>
        <w:t xml:space="preserve"> frigio, modos situados cerca de dicho extremo y caracterizados por Miller como oscuros, misteriosos y exóticos. El recorrido continúa con el </w:t>
      </w:r>
      <w:r>
        <w:rPr>
          <w:rFonts w:ascii="Times New Roman" w:eastAsia="Times New Roman" w:hAnsi="Times New Roman" w:cs="Times New Roman"/>
          <w:i/>
          <w:iCs/>
        </w:rPr>
        <w:t>do</w:t>
      </w:r>
      <w:r>
        <w:rPr>
          <w:rFonts w:ascii="Times New Roman" w:eastAsia="Times New Roman" w:hAnsi="Times New Roman" w:cs="Times New Roman"/>
        </w:rPr>
        <w:t xml:space="preserve"> locrio, considerado por Persichetti y Miller como el modo más sombrío de la gradación y definido interválicamente por su quinta disminuida. Finalmente, se utiliza el </w:t>
      </w:r>
      <w:r>
        <w:rPr>
          <w:rFonts w:ascii="Times New Roman" w:eastAsia="Times New Roman" w:hAnsi="Times New Roman" w:cs="Times New Roman"/>
          <w:i/>
          <w:iCs/>
        </w:rPr>
        <w:t>do</w:t>
      </w:r>
      <w:r>
        <w:rPr>
          <w:rFonts w:ascii="Times New Roman" w:eastAsia="Times New Roman" w:hAnsi="Times New Roman" w:cs="Times New Roman"/>
        </w:rPr>
        <w:t xml:space="preserve"> locrio con cuarta bemol y séptima doble bemol, correspondiente al séptimo modo de la escala menor armónica. Su asociación con una mayor sensación de opacidad y misterio constituye una interpretación surgida del proceso compositivo de la obra.</w:t>
      </w:r>
    </w:p>
    <w:p w14:paraId="5F73425D" w14:textId="77777777" w:rsidR="002360C3" w:rsidRDefault="002360C3">
      <w:pPr>
        <w:spacing w:line="276" w:lineRule="auto"/>
        <w:ind w:left="720"/>
        <w:jc w:val="both"/>
        <w:rPr>
          <w:rFonts w:ascii="Times New Roman" w:eastAsia="Times New Roman" w:hAnsi="Times New Roman" w:cs="Times New Roman"/>
        </w:rPr>
      </w:pPr>
    </w:p>
    <w:p w14:paraId="63C5D275"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Esta cuidadosa selección y progresión modal es el corazón de la propuesta compositiva, permitiendo que la música, de manera intencional y estructurada, narre la jornada lumínica de un día.</w:t>
      </w:r>
    </w:p>
    <w:p w14:paraId="3727C931" w14:textId="77777777" w:rsidR="002360C3" w:rsidRDefault="002360C3">
      <w:pPr>
        <w:spacing w:line="276" w:lineRule="auto"/>
        <w:jc w:val="both"/>
        <w:rPr>
          <w:rFonts w:ascii="Times New Roman" w:eastAsia="Times New Roman" w:hAnsi="Times New Roman" w:cs="Times New Roman"/>
        </w:rPr>
      </w:pPr>
    </w:p>
    <w:p w14:paraId="0C5E2BDB" w14:textId="77777777" w:rsidR="002360C3" w:rsidRDefault="00000000">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Proceso Compositivo y Metodología Analítica</w:t>
      </w:r>
    </w:p>
    <w:p w14:paraId="13C515E0"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La creación de </w:t>
      </w:r>
      <w:r>
        <w:rPr>
          <w:rFonts w:ascii="Times New Roman" w:eastAsia="Times New Roman" w:hAnsi="Times New Roman" w:cs="Times New Roman"/>
          <w:i/>
          <w:iCs/>
        </w:rPr>
        <w:t>El transcurso de un día soleado en cinco piezas modales</w:t>
      </w:r>
      <w:r>
        <w:rPr>
          <w:rFonts w:ascii="Times New Roman" w:eastAsia="Times New Roman" w:hAnsi="Times New Roman" w:cs="Times New Roman"/>
        </w:rPr>
        <w:t> se fundamentó en la convicción de que un compositor debe consolidar un discurso propio, caracterizado por la claridad en el lenguaje, la sonoridad y el estilo. Este proceso implicó no sólo la selección de elementos musicales, sino también una profunda consideración de las capacidades de los instrumentistas, la claridad de la escritura y los espacios de ejecución, ya sea un estudio de grabación, una sala de conciertos o una instalación sonora.</w:t>
      </w:r>
    </w:p>
    <w:p w14:paraId="0AE4F763"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El formato instrumental elegido </w:t>
      </w:r>
      <w:r>
        <w:rPr>
          <w:rFonts w:ascii="Times New Roman" w:eastAsia="Times New Roman" w:hAnsi="Times New Roman" w:cs="Times New Roman"/>
          <w:color w:val="1A1C1E"/>
          <w:sz w:val="20"/>
          <w:szCs w:val="20"/>
        </w:rPr>
        <w:t>—</w:t>
      </w:r>
      <w:r>
        <w:rPr>
          <w:rFonts w:ascii="Times New Roman" w:eastAsia="Times New Roman" w:hAnsi="Times New Roman" w:cs="Times New Roman"/>
        </w:rPr>
        <w:t>trío de violín, violonchelo y piano</w:t>
      </w:r>
      <w:r>
        <w:rPr>
          <w:rFonts w:ascii="Times New Roman" w:eastAsia="Times New Roman" w:hAnsi="Times New Roman" w:cs="Times New Roman"/>
          <w:color w:val="1A1C1E"/>
          <w:sz w:val="20"/>
          <w:szCs w:val="20"/>
        </w:rPr>
        <w:t>—</w:t>
      </w:r>
      <w:r>
        <w:rPr>
          <w:rFonts w:ascii="Times New Roman" w:eastAsia="Times New Roman" w:hAnsi="Times New Roman" w:cs="Times New Roman"/>
        </w:rPr>
        <w:t xml:space="preserve"> fue una decisión estratégica. La versatilidad y la amplia gama sonora que ofrecen estos instrumentos </w:t>
      </w:r>
      <w:r>
        <w:rPr>
          <w:rFonts w:ascii="Times New Roman" w:eastAsia="Times New Roman" w:hAnsi="Times New Roman" w:cs="Times New Roman"/>
        </w:rPr>
        <w:lastRenderedPageBreak/>
        <w:t>individuales y en conjunto resultan idóneas para la exploración tímbrica y armónica requerida para la representación de las cualidades de brillo y oscuridad. Cada instrumento posee un “universo sonoro” particular, y su combinación permite crear texturas y registros específicos que apoyan la narrativa lumínica de la obra.</w:t>
      </w:r>
    </w:p>
    <w:p w14:paraId="0CF34F9C"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Desde el punto de vista teórico, la obra se construyó a partir de la gradación de brillo</w:t>
      </w:r>
      <w:r>
        <w:rPr>
          <w:rFonts w:ascii="Times New Roman" w:eastAsia="Times New Roman" w:hAnsi="Times New Roman" w:cs="Times New Roman"/>
          <w:i/>
          <w:iCs/>
          <w:sz w:val="20"/>
          <w:szCs w:val="20"/>
        </w:rPr>
        <w:t>–</w:t>
      </w:r>
      <w:r>
        <w:rPr>
          <w:rFonts w:ascii="Times New Roman" w:eastAsia="Times New Roman" w:hAnsi="Times New Roman" w:cs="Times New Roman"/>
        </w:rPr>
        <w:t>oscuridad propuesta por Persichetti (1995) y Miller (1996), empleada como marco para organizar los modos diatónicos desde el lidio, considerado el más brillante, hasta el locrio, situado en el extremo más sombrío. Esta gradación orientó la selección y sucesión modal de los cinco movimientos de acuerdo con los cambios lumínicos representados. La aportación metodológica del trabajo consiste en trasladar este ordenamiento teórico al proceso compositivo y examinar, dentro de la obra, la incidencia de la amplitud y disposición de los intervalos en la percepción de brillo u oscuridad. Aunque la organización interválica ya se encuentra implícita en los planteamientos de ambos autores, el proceso creativo permitió reinterpretarla como un criterio práctico para articular el recorrido modal y preservar la coherencia sonora de la composición.</w:t>
      </w:r>
    </w:p>
    <w:p w14:paraId="6D41C173"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Las técnicas compositivas empleadas para el desarrollo musical fueron variadas y se integraron en una textura predominantemente polifónica. Se exploraron y desarrollaron motivos melódicos a través de:</w:t>
      </w:r>
    </w:p>
    <w:p w14:paraId="0EA7584F" w14:textId="77777777" w:rsidR="002360C3" w:rsidRDefault="002360C3">
      <w:pPr>
        <w:spacing w:line="276" w:lineRule="auto"/>
        <w:ind w:firstLine="720"/>
        <w:jc w:val="both"/>
        <w:rPr>
          <w:rFonts w:ascii="Times New Roman" w:eastAsia="Times New Roman" w:hAnsi="Times New Roman" w:cs="Times New Roman"/>
        </w:rPr>
      </w:pPr>
    </w:p>
    <w:p w14:paraId="44F38805" w14:textId="77777777" w:rsidR="002360C3" w:rsidRDefault="00000000">
      <w:pPr>
        <w:numPr>
          <w:ilvl w:val="0"/>
          <w:numId w:val="3"/>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Inversiones</w:t>
      </w:r>
      <w:r>
        <w:rPr>
          <w:rFonts w:ascii="Times New Roman" w:eastAsia="Times New Roman" w:hAnsi="Times New Roman" w:cs="Times New Roman"/>
        </w:rPr>
        <w:t>: Transformación de un motivo invirtiendo la dirección de sus intervalos.</w:t>
      </w:r>
    </w:p>
    <w:p w14:paraId="4DB5FFEE" w14:textId="77777777" w:rsidR="002360C3" w:rsidRDefault="00000000">
      <w:pPr>
        <w:numPr>
          <w:ilvl w:val="0"/>
          <w:numId w:val="3"/>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Cambios de registro</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Utilización de diferentes octavas para alterar la percepción tímbrica y de brillo.</w:t>
      </w:r>
    </w:p>
    <w:p w14:paraId="5A283EAD" w14:textId="77777777" w:rsidR="002360C3" w:rsidRDefault="00000000">
      <w:pPr>
        <w:numPr>
          <w:ilvl w:val="0"/>
          <w:numId w:val="3"/>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Contrapunto en espejo</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Movimiento simultáneo de dos voces en direcciones opuestas pero con intervalos simétricos.</w:t>
      </w:r>
    </w:p>
    <w:p w14:paraId="54F95E4B" w14:textId="77777777" w:rsidR="002360C3" w:rsidRDefault="00000000">
      <w:pPr>
        <w:numPr>
          <w:ilvl w:val="0"/>
          <w:numId w:val="3"/>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Imitación</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Repetición de un motivo por otra voz, a menudo en diferentes alturas.</w:t>
      </w:r>
    </w:p>
    <w:p w14:paraId="7DA34F37" w14:textId="77777777" w:rsidR="002360C3" w:rsidRDefault="002360C3">
      <w:pPr>
        <w:spacing w:line="276" w:lineRule="auto"/>
        <w:ind w:left="720"/>
        <w:jc w:val="both"/>
        <w:rPr>
          <w:rFonts w:ascii="Times New Roman" w:eastAsia="Times New Roman" w:hAnsi="Times New Roman" w:cs="Times New Roman"/>
        </w:rPr>
      </w:pPr>
    </w:p>
    <w:p w14:paraId="7D22E75D"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Además, se aplicaron técnicas inspiradas en Oliver Messiaen (1993), como el desarrollo melódico por eliminación (sustracción) de notas, y la manipulación rítmica a través de valores añadidos, aumentación (multiplicación de los valores rítmicos) y disminución (división de los valores rítmicos). El uso estratégico de dinámicas</w:t>
      </w:r>
      <w:r>
        <w:rPr>
          <w:rFonts w:ascii="Times New Roman" w:eastAsia="Times New Roman" w:hAnsi="Times New Roman" w:cs="Times New Roman"/>
          <w:b/>
          <w:bCs/>
        </w:rPr>
        <w:t> </w:t>
      </w:r>
      <w:r>
        <w:rPr>
          <w:rFonts w:ascii="Times New Roman" w:eastAsia="Times New Roman" w:hAnsi="Times New Roman" w:cs="Times New Roman"/>
        </w:rPr>
        <w:t>(desde </w:t>
      </w:r>
      <w:r>
        <w:rPr>
          <w:rFonts w:ascii="Times New Roman" w:eastAsia="Times New Roman" w:hAnsi="Times New Roman" w:cs="Times New Roman"/>
          <w:i/>
          <w:iCs/>
        </w:rPr>
        <w:t>piano</w:t>
      </w:r>
      <w:r>
        <w:rPr>
          <w:rFonts w:ascii="Times New Roman" w:eastAsia="Times New Roman" w:hAnsi="Times New Roman" w:cs="Times New Roman"/>
        </w:rPr>
        <w:t> hasta </w:t>
      </w:r>
      <w:r>
        <w:rPr>
          <w:rFonts w:ascii="Times New Roman" w:eastAsia="Times New Roman" w:hAnsi="Times New Roman" w:cs="Times New Roman"/>
          <w:i/>
          <w:iCs/>
        </w:rPr>
        <w:t>forte</w:t>
      </w:r>
      <w:r>
        <w:rPr>
          <w:rFonts w:ascii="Times New Roman" w:eastAsia="Times New Roman" w:hAnsi="Times New Roman" w:cs="Times New Roman"/>
        </w:rPr>
        <w:t>) y materiales modales</w:t>
      </w:r>
      <w:r>
        <w:rPr>
          <w:rFonts w:ascii="Times New Roman" w:eastAsia="Times New Roman" w:hAnsi="Times New Roman" w:cs="Times New Roman"/>
          <w:b/>
          <w:bCs/>
        </w:rPr>
        <w:t> </w:t>
      </w:r>
      <w:r>
        <w:rPr>
          <w:rFonts w:ascii="Times New Roman" w:eastAsia="Times New Roman" w:hAnsi="Times New Roman" w:cs="Times New Roman"/>
        </w:rPr>
        <w:t>(acordes primarios y secundarios, según Persichetti (1995)) fue esencial para modelar la expresión y el carácter de cada pieza. Estos recursos técnicos se describen detalladamente en el análisis individual de cada movimiento.</w:t>
      </w:r>
    </w:p>
    <w:p w14:paraId="3F12DAB0"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La composición de estas piezas se realizó desde una perspectiva instrumental, nutrida por una inevitable historicidad musical del compositor. Esta influenció el desarrollo estético de la obra, abarcando elementos de la música de la práctica común, el impresionismo francés, las corrientes académicas de finales del siglo XIX y el siglo XX, así como influencias más recientes como el blues, el jazz y las músicas comerciales (rock y pop). Esta amalgama de estilos permitió una flexibilidad en el lenguaje musical, donde el género no fue un punto de partida restrictivo, sino un horizonte al que se llegó a través de la libre exploración sonora.</w:t>
      </w:r>
    </w:p>
    <w:p w14:paraId="515C6E2C"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El análisis de las piezas en este documento sigue una estructura sistemática:</w:t>
      </w:r>
    </w:p>
    <w:p w14:paraId="61FB7ED3" w14:textId="77777777" w:rsidR="002360C3" w:rsidRDefault="002360C3">
      <w:pPr>
        <w:spacing w:line="276" w:lineRule="auto"/>
        <w:jc w:val="both"/>
        <w:rPr>
          <w:rFonts w:ascii="Times New Roman" w:eastAsia="Times New Roman" w:hAnsi="Times New Roman" w:cs="Times New Roman"/>
        </w:rPr>
      </w:pPr>
    </w:p>
    <w:p w14:paraId="083D53A0" w14:textId="77777777" w:rsidR="002360C3" w:rsidRDefault="00000000">
      <w:pPr>
        <w:numPr>
          <w:ilvl w:val="0"/>
          <w:numId w:val="4"/>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Modos utilizados</w:t>
      </w:r>
      <w:r>
        <w:rPr>
          <w:rFonts w:ascii="Times New Roman" w:eastAsia="Times New Roman" w:hAnsi="Times New Roman" w:cs="Times New Roman"/>
        </w:rPr>
        <w:t>:</w:t>
      </w:r>
      <w:r>
        <w:rPr>
          <w:rFonts w:ascii="Times New Roman" w:eastAsia="Times New Roman" w:hAnsi="Times New Roman" w:cs="Times New Roman"/>
          <w:b/>
          <w:bCs/>
        </w:rPr>
        <w:t> </w:t>
      </w:r>
      <w:r>
        <w:rPr>
          <w:rFonts w:ascii="Times New Roman" w:eastAsia="Times New Roman" w:hAnsi="Times New Roman" w:cs="Times New Roman"/>
        </w:rPr>
        <w:t>Descripción de los modos y sus fundamentos para cada sección.</w:t>
      </w:r>
    </w:p>
    <w:p w14:paraId="33BDD4FA" w14:textId="77777777" w:rsidR="002360C3" w:rsidRDefault="00000000">
      <w:pPr>
        <w:numPr>
          <w:ilvl w:val="0"/>
          <w:numId w:val="4"/>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Análisis melódico</w:t>
      </w:r>
      <w:r>
        <w:rPr>
          <w:rFonts w:ascii="Times New Roman" w:eastAsia="Times New Roman" w:hAnsi="Times New Roman" w:cs="Times New Roman"/>
        </w:rPr>
        <w:t>: Detalle de los motivos principales, su desarrollo y variaciones.</w:t>
      </w:r>
    </w:p>
    <w:p w14:paraId="14A048F9" w14:textId="77777777" w:rsidR="002360C3" w:rsidRDefault="00000000">
      <w:pPr>
        <w:numPr>
          <w:ilvl w:val="0"/>
          <w:numId w:val="4"/>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Recursos expresivos</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Explicación de las dinámicas, articulaciones y ornamentaciones.</w:t>
      </w:r>
    </w:p>
    <w:p w14:paraId="641C3D3D" w14:textId="77777777" w:rsidR="002360C3" w:rsidRDefault="00000000">
      <w:pPr>
        <w:numPr>
          <w:ilvl w:val="0"/>
          <w:numId w:val="4"/>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Estructura formal y armónica</w:t>
      </w:r>
      <w:r>
        <w:rPr>
          <w:rFonts w:ascii="Times New Roman" w:eastAsia="Times New Roman" w:hAnsi="Times New Roman" w:cs="Times New Roman"/>
        </w:rPr>
        <w:t>: Descripción de la forma de cada pieza y los esquemas armónicos por compases.</w:t>
      </w:r>
    </w:p>
    <w:p w14:paraId="2A6643A0" w14:textId="77777777" w:rsidR="002360C3" w:rsidRDefault="002360C3">
      <w:pPr>
        <w:spacing w:line="276" w:lineRule="auto"/>
        <w:ind w:left="720"/>
        <w:jc w:val="both"/>
        <w:rPr>
          <w:rFonts w:ascii="Times New Roman" w:eastAsia="Times New Roman" w:hAnsi="Times New Roman" w:cs="Times New Roman"/>
        </w:rPr>
      </w:pPr>
    </w:p>
    <w:p w14:paraId="303D0B45"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Para la coherencia en la referencia, los compases se numeran consecutivamente tal como aparecen en las partituras adjuntas en la sección de Anexos. Para complementar el análisis individual, se realizó una evaluación global de la obra mediante el procesamiento de datos extraídos de las partituras (en formato XML) con el software Finale v.25® y analizados con el programa estadístico SPSS v.21®. Esto permitió generar gráficos que ilustran la curva de crecimiento de la densidad musical, los registros tímbricos predominantes y las dinámicas empleadas a lo largo de las cinco piezas, ofreciendo una perspectiva cuantitativa de la progresión de brillo</w:t>
      </w:r>
      <w:r>
        <w:rPr>
          <w:rFonts w:ascii="Times New Roman" w:eastAsia="Times New Roman" w:hAnsi="Times New Roman" w:cs="Times New Roman"/>
          <w:i/>
          <w:iCs/>
          <w:sz w:val="20"/>
          <w:szCs w:val="20"/>
        </w:rPr>
        <w:t>–</w:t>
      </w:r>
      <w:r>
        <w:rPr>
          <w:rFonts w:ascii="Times New Roman" w:eastAsia="Times New Roman" w:hAnsi="Times New Roman" w:cs="Times New Roman"/>
        </w:rPr>
        <w:t>oscuridad.</w:t>
      </w:r>
    </w:p>
    <w:p w14:paraId="30E62E1C" w14:textId="77777777" w:rsidR="002360C3" w:rsidRDefault="002360C3">
      <w:pPr>
        <w:spacing w:line="276" w:lineRule="auto"/>
        <w:jc w:val="both"/>
        <w:rPr>
          <w:rFonts w:ascii="Times New Roman" w:eastAsia="Times New Roman" w:hAnsi="Times New Roman" w:cs="Times New Roman"/>
        </w:rPr>
      </w:pPr>
    </w:p>
    <w:p w14:paraId="0983AC10" w14:textId="77777777" w:rsidR="002360C3" w:rsidRDefault="00000000">
      <w:pPr>
        <w:spacing w:line="276" w:lineRule="auto"/>
        <w:jc w:val="both"/>
        <w:rPr>
          <w:rFonts w:ascii="Times New Roman" w:eastAsia="Times New Roman" w:hAnsi="Times New Roman" w:cs="Times New Roman"/>
          <w:b/>
          <w:bCs/>
          <w:vertAlign w:val="superscript"/>
        </w:rPr>
      </w:pPr>
      <w:r>
        <w:rPr>
          <w:rFonts w:ascii="Times New Roman" w:eastAsia="Times New Roman" w:hAnsi="Times New Roman" w:cs="Times New Roman"/>
          <w:b/>
          <w:bCs/>
        </w:rPr>
        <w:t>Análisis de las Piezas Musicales</w:t>
      </w:r>
      <w:r>
        <w:rPr>
          <w:rFonts w:ascii="Times New Roman" w:eastAsia="Times New Roman" w:hAnsi="Times New Roman" w:cs="Times New Roman"/>
          <w:b/>
          <w:bCs/>
          <w:vertAlign w:val="superscript"/>
        </w:rPr>
        <w:footnoteReference w:id="1"/>
      </w:r>
    </w:p>
    <w:p w14:paraId="1B6C84A8"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La obra </w:t>
      </w:r>
      <w:r>
        <w:rPr>
          <w:rFonts w:ascii="Times New Roman" w:eastAsia="Times New Roman" w:hAnsi="Times New Roman" w:cs="Times New Roman"/>
          <w:i/>
          <w:iCs/>
        </w:rPr>
        <w:t>El transcurso de un día soleado en cinco piezas modales</w:t>
      </w:r>
      <w:r>
        <w:rPr>
          <w:rFonts w:ascii="Times New Roman" w:eastAsia="Times New Roman" w:hAnsi="Times New Roman" w:cs="Times New Roman"/>
        </w:rPr>
        <w:t> consta de cinco movimientos, cada uno diseñado para evocar un momento específico del ciclo diurno a través de la manipulación de sonoridades modales y recursos compositivos.</w:t>
      </w:r>
    </w:p>
    <w:p w14:paraId="2D29E644" w14:textId="77777777" w:rsidR="002360C3" w:rsidRDefault="002360C3">
      <w:pPr>
        <w:spacing w:line="276" w:lineRule="auto"/>
        <w:jc w:val="both"/>
        <w:rPr>
          <w:rFonts w:ascii="Times New Roman" w:eastAsia="Times New Roman" w:hAnsi="Times New Roman" w:cs="Times New Roman"/>
        </w:rPr>
      </w:pPr>
    </w:p>
    <w:p w14:paraId="3B739240" w14:textId="77777777" w:rsidR="002360C3" w:rsidRDefault="00000000">
      <w:pPr>
        <w:spacing w:line="276"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Amanecer</w:t>
      </w:r>
    </w:p>
    <w:p w14:paraId="5BBE6908"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“Amanecer”, la pieza inicial de la obra, introduce la sensación de claroscuro propia del inicio del día, donde la penumbra se mezcla con los primeros visos de luz. Esta atmósfera se construye principalmente a través de la interacción de los modos </w:t>
      </w:r>
      <w:r>
        <w:rPr>
          <w:rFonts w:ascii="Times New Roman" w:eastAsia="Times New Roman" w:hAnsi="Times New Roman" w:cs="Times New Roman"/>
          <w:i/>
          <w:iCs/>
        </w:rPr>
        <w:t>si</w:t>
      </w:r>
      <w:r>
        <w:rPr>
          <w:rFonts w:ascii="Times New Roman" w:eastAsia="Times New Roman" w:hAnsi="Times New Roman" w:cs="Times New Roman"/>
        </w:rPr>
        <w:t xml:space="preserve"> frigio y </w:t>
      </w:r>
      <w:r>
        <w:rPr>
          <w:rFonts w:ascii="Times New Roman" w:eastAsia="Times New Roman" w:hAnsi="Times New Roman" w:cs="Times New Roman"/>
          <w:i/>
          <w:iCs/>
        </w:rPr>
        <w:t>la</w:t>
      </w:r>
      <w:r>
        <w:rPr>
          <w:rFonts w:ascii="Times New Roman" w:eastAsia="Times New Roman" w:hAnsi="Times New Roman" w:cs="Times New Roman"/>
        </w:rPr>
        <w:t xml:space="preserve"> eólico. El modo </w:t>
      </w:r>
      <w:r>
        <w:rPr>
          <w:rFonts w:ascii="Times New Roman" w:eastAsia="Times New Roman" w:hAnsi="Times New Roman" w:cs="Times New Roman"/>
          <w:i/>
          <w:iCs/>
        </w:rPr>
        <w:t>si</w:t>
      </w:r>
      <w:r>
        <w:rPr>
          <w:rFonts w:ascii="Times New Roman" w:eastAsia="Times New Roman" w:hAnsi="Times New Roman" w:cs="Times New Roman"/>
        </w:rPr>
        <w:t xml:space="preserve"> frigio, con su segunda menor característica, confiere una sonoridad inherentemente sombría y misteriosa, adecuada para la penumbra inicial. El </w:t>
      </w:r>
      <w:r>
        <w:rPr>
          <w:rFonts w:ascii="Times New Roman" w:eastAsia="Times New Roman" w:hAnsi="Times New Roman" w:cs="Times New Roman"/>
          <w:i/>
          <w:iCs/>
        </w:rPr>
        <w:t>la</w:t>
      </w:r>
      <w:r>
        <w:rPr>
          <w:rFonts w:ascii="Times New Roman" w:eastAsia="Times New Roman" w:hAnsi="Times New Roman" w:cs="Times New Roman"/>
        </w:rPr>
        <w:t xml:space="preserve"> eólico, si bien también es un modo menor, posee una cualidad ligeramente menos densa, sugiriendo una incipiente apertura hacia la luz. La pieza se desarrolla en una métrica de cuatro cuartos (4/4) y adopta una forma binaria (A B), con la sección A abarcando 44 compases y la sección B, 20 compases.</w:t>
      </w:r>
    </w:p>
    <w:p w14:paraId="32D03232"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La introducción de “Amanecer” es encomendada al piano, que establece un ambiente sublime y expresivo, utilizando predominantemente el registro medio</w:t>
      </w:r>
      <w:r>
        <w:rPr>
          <w:rFonts w:ascii="Times New Roman" w:eastAsia="Times New Roman" w:hAnsi="Times New Roman" w:cs="Times New Roman"/>
          <w:i/>
          <w:iCs/>
          <w:sz w:val="20"/>
          <w:szCs w:val="20"/>
        </w:rPr>
        <w:t>–</w:t>
      </w:r>
      <w:r>
        <w:rPr>
          <w:rFonts w:ascii="Times New Roman" w:eastAsia="Times New Roman" w:hAnsi="Times New Roman" w:cs="Times New Roman"/>
        </w:rPr>
        <w:t>grave. El violonchelo se une a partir de los compases 5 al 8, y el violín hace su primera aparición significativa en el compás 29, aunque su presencia inicial es más esporádica. Un elemento estructural clave es el obstinato del piano que comienza en el compás 9. Este patrón rítmico</w:t>
      </w:r>
      <w:r>
        <w:rPr>
          <w:rFonts w:ascii="Times New Roman" w:eastAsia="Times New Roman" w:hAnsi="Times New Roman" w:cs="Times New Roman"/>
          <w:i/>
          <w:iCs/>
          <w:sz w:val="20"/>
          <w:szCs w:val="20"/>
        </w:rPr>
        <w:t>–</w:t>
      </w:r>
      <w:r>
        <w:rPr>
          <w:rFonts w:ascii="Times New Roman" w:eastAsia="Times New Roman" w:hAnsi="Times New Roman" w:cs="Times New Roman"/>
        </w:rPr>
        <w:t>armónico evoluciona, agregando progresivamente notas del modo en el compás 21 y alcanzando su plenitud rítmica y melódica en el compás 29. Esta acumulación gradual de elementos en el obstinato del piano refleja la lenta, pero constante emergencia de la luz y la actividad al amanecer.</w:t>
      </w:r>
    </w:p>
    <w:p w14:paraId="78227D48"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El motivo melódico principal</w:t>
      </w:r>
      <w:r>
        <w:rPr>
          <w:rFonts w:ascii="Times New Roman" w:eastAsia="Times New Roman" w:hAnsi="Times New Roman" w:cs="Times New Roman"/>
          <w:b/>
          <w:bCs/>
        </w:rPr>
        <w:t> </w:t>
      </w:r>
      <w:r>
        <w:rPr>
          <w:rFonts w:ascii="Times New Roman" w:eastAsia="Times New Roman" w:hAnsi="Times New Roman" w:cs="Times New Roman"/>
        </w:rPr>
        <w:t>de “Amanecer” se presenta por primera vez en el compás 13, interpretado por el violonchelo en su registro medio</w:t>
      </w:r>
      <w:r>
        <w:rPr>
          <w:rFonts w:ascii="Times New Roman" w:eastAsia="Times New Roman" w:hAnsi="Times New Roman" w:cs="Times New Roman"/>
          <w:i/>
          <w:iCs/>
          <w:sz w:val="20"/>
          <w:szCs w:val="20"/>
        </w:rPr>
        <w:t>–</w:t>
      </w:r>
      <w:r>
        <w:rPr>
          <w:rFonts w:ascii="Times New Roman" w:eastAsia="Times New Roman" w:hAnsi="Times New Roman" w:cs="Times New Roman"/>
        </w:rPr>
        <w:t>grave. Posteriormente, en el compás 37, el violín retoma este motivo, también en su registro medio, reforzando la sonoridad sombría y contemplativa inherente al modo frigio y a la atmósfera del amanecer (Figura 1). La elección de estos registros bajos para el motivo principal subraya la cualidad de oscuridad y quietud característica de las primeras horas del día.</w:t>
      </w:r>
    </w:p>
    <w:p w14:paraId="5E2D1A2E" w14:textId="77777777" w:rsidR="002360C3" w:rsidRDefault="002360C3">
      <w:pPr>
        <w:spacing w:line="276" w:lineRule="auto"/>
        <w:jc w:val="both"/>
        <w:rPr>
          <w:rFonts w:ascii="Times New Roman" w:eastAsia="Times New Roman" w:hAnsi="Times New Roman" w:cs="Times New Roman"/>
        </w:rPr>
      </w:pPr>
    </w:p>
    <w:p w14:paraId="03524DA0" w14:textId="77777777" w:rsidR="002360C3" w:rsidRDefault="00000000">
      <w:pPr>
        <w:spacing w:line="276" w:lineRule="auto"/>
        <w:jc w:val="both"/>
        <w:rPr>
          <w:rFonts w:ascii="Times New Roman" w:eastAsia="Times New Roman" w:hAnsi="Times New Roman" w:cs="Times New Roman"/>
          <w:b/>
          <w:bCs/>
          <w:sz w:val="22"/>
          <w:szCs w:val="22"/>
        </w:rPr>
      </w:pPr>
      <w:commentRangeStart w:id="14"/>
      <w:r>
        <w:rPr>
          <w:rFonts w:ascii="Times New Roman" w:eastAsia="Times New Roman" w:hAnsi="Times New Roman" w:cs="Times New Roman"/>
          <w:b/>
          <w:bCs/>
          <w:sz w:val="22"/>
          <w:szCs w:val="22"/>
        </w:rPr>
        <w:t>Figura 1</w:t>
      </w:r>
    </w:p>
    <w:p w14:paraId="0778B0B8" w14:textId="77777777" w:rsidR="002360C3"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Amanecer</w:t>
      </w:r>
      <w:commentRangeEnd w:id="14"/>
      <w:r w:rsidR="00863F61">
        <w:rPr>
          <w:rStyle w:val="Refdecomentario"/>
          <w:rFonts w:ascii="Times New Roman" w:eastAsia="Times New Roman" w:hAnsi="Times New Roman" w:cs="Times New Roman"/>
          <w:sz w:val="22"/>
          <w:szCs w:val="22"/>
        </w:rPr>
        <w:commentReference w:id="14"/>
      </w:r>
    </w:p>
    <w:p w14:paraId="3C204229" w14:textId="77777777" w:rsidR="002360C3" w:rsidRDefault="00000000">
      <w:pPr>
        <w:spacing w:line="276" w:lineRule="auto"/>
        <w:jc w:val="center"/>
        <w:rPr>
          <w:rFonts w:ascii="Times New Roman" w:eastAsia="Times New Roman" w:hAnsi="Times New Roman" w:cs="Times New Roman"/>
          <w:b/>
          <w:bCs/>
          <w:u w:val="single"/>
        </w:rPr>
      </w:pPr>
      <w:r>
        <w:rPr>
          <w:rFonts w:ascii="Times New Roman" w:eastAsia="Times New Roman" w:hAnsi="Times New Roman" w:cs="Times New Roman"/>
          <w:b/>
          <w:bCs/>
          <w:noProof/>
          <w:u w:val="single"/>
        </w:rPr>
        <w:drawing>
          <wp:inline distT="114300" distB="114300" distL="114300" distR="114300" wp14:anchorId="7553C92E" wp14:editId="2A59DD1B">
            <wp:extent cx="5612130" cy="1117600"/>
            <wp:effectExtent l="0" t="0" r="0" b="0"/>
            <wp:docPr id="15"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4"/>
                    <a:srcRect/>
                    <a:stretch>
                      <a:fillRect/>
                    </a:stretch>
                  </pic:blipFill>
                  <pic:spPr>
                    <a:xfrm>
                      <a:off x="0" y="0"/>
                      <a:ext cx="5612130" cy="1117600"/>
                    </a:xfrm>
                    <a:prstGeom prst="rect">
                      <a:avLst/>
                    </a:prstGeom>
                    <a:ln/>
                  </pic:spPr>
                </pic:pic>
              </a:graphicData>
            </a:graphic>
          </wp:inline>
        </w:drawing>
      </w:r>
    </w:p>
    <w:p w14:paraId="3C96FC06" w14:textId="77777777" w:rsidR="002360C3" w:rsidRDefault="00000000">
      <w:pPr>
        <w:spacing w:line="276" w:lineRule="auto"/>
        <w:jc w:val="center"/>
        <w:rPr>
          <w:rFonts w:ascii="Times New Roman" w:eastAsia="Times New Roman" w:hAnsi="Times New Roman" w:cs="Times New Roman"/>
          <w:sz w:val="18"/>
          <w:szCs w:val="18"/>
        </w:rPr>
      </w:pPr>
      <w:commentRangeStart w:id="15"/>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commentRangeEnd w:id="15"/>
      <w:r w:rsidR="00863F61">
        <w:rPr>
          <w:rStyle w:val="Refdecomentario"/>
          <w:rFonts w:ascii="Times New Roman" w:eastAsia="Times New Roman" w:hAnsi="Times New Roman" w:cs="Times New Roman"/>
          <w:sz w:val="18"/>
          <w:szCs w:val="18"/>
        </w:rPr>
        <w:commentReference w:id="15"/>
      </w:r>
    </w:p>
    <w:p w14:paraId="074F3445" w14:textId="77777777" w:rsidR="002360C3" w:rsidRDefault="002360C3">
      <w:pPr>
        <w:spacing w:line="276" w:lineRule="auto"/>
        <w:jc w:val="both"/>
        <w:rPr>
          <w:rFonts w:ascii="Times New Roman" w:eastAsia="Times New Roman" w:hAnsi="Times New Roman" w:cs="Times New Roman"/>
        </w:rPr>
      </w:pPr>
    </w:p>
    <w:p w14:paraId="0494F67D"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El tratamiento temático del motivo principal se realiza mediante tres variaciones distintas:</w:t>
      </w:r>
    </w:p>
    <w:p w14:paraId="61C0CE75" w14:textId="77777777" w:rsidR="002360C3" w:rsidRDefault="002360C3">
      <w:pPr>
        <w:spacing w:line="276" w:lineRule="auto"/>
        <w:jc w:val="both"/>
        <w:rPr>
          <w:rFonts w:ascii="Times New Roman" w:eastAsia="Times New Roman" w:hAnsi="Times New Roman" w:cs="Times New Roman"/>
        </w:rPr>
      </w:pPr>
    </w:p>
    <w:p w14:paraId="3CBD4F6C" w14:textId="77777777" w:rsidR="002360C3" w:rsidRDefault="00000000">
      <w:pPr>
        <w:numPr>
          <w:ilvl w:val="0"/>
          <w:numId w:val="5"/>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Primera variación</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 xml:space="preserve">Ubicada en el compás 17 (Figura 2). Conserva el inicio del motivo original, pero en el segundo compás introduce dos corcheas adicionales, desplazando las notas del primer tiempo de la melodía original hacia el segundo. En el tercer tiempo, la nota </w:t>
      </w:r>
      <w:r>
        <w:rPr>
          <w:rFonts w:ascii="Times New Roman" w:eastAsia="Times New Roman" w:hAnsi="Times New Roman" w:cs="Times New Roman"/>
          <w:i/>
          <w:iCs/>
        </w:rPr>
        <w:t>re</w:t>
      </w:r>
      <w:r>
        <w:rPr>
          <w:rFonts w:ascii="Times New Roman" w:eastAsia="Times New Roman" w:hAnsi="Times New Roman" w:cs="Times New Roman"/>
        </w:rPr>
        <w:t xml:space="preserve"> experimenta una aumentación rítmica, confiriéndole mayor peso y duración, lo que acentúa la sensación de lentitud y desarrollo gradual.</w:t>
      </w:r>
    </w:p>
    <w:p w14:paraId="459CB1CF" w14:textId="77777777" w:rsidR="002360C3" w:rsidRDefault="002360C3">
      <w:pPr>
        <w:spacing w:line="276" w:lineRule="auto"/>
        <w:jc w:val="both"/>
        <w:rPr>
          <w:rFonts w:ascii="Times New Roman" w:eastAsia="Times New Roman" w:hAnsi="Times New Roman" w:cs="Times New Roman"/>
          <w:b/>
          <w:bCs/>
        </w:rPr>
      </w:pPr>
    </w:p>
    <w:p w14:paraId="275E284B"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2</w:t>
      </w:r>
    </w:p>
    <w:p w14:paraId="623C93C5" w14:textId="77777777" w:rsidR="002360C3" w:rsidRDefault="00000000">
      <w:pPr>
        <w:spacing w:line="276" w:lineRule="auto"/>
        <w:jc w:val="both"/>
        <w:rPr>
          <w:rFonts w:ascii="Times New Roman" w:eastAsia="Times New Roman" w:hAnsi="Times New Roman" w:cs="Times New Roman"/>
          <w:b/>
          <w:bCs/>
          <w:sz w:val="22"/>
          <w:szCs w:val="22"/>
          <w:u w:val="single"/>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Amanecer</w:t>
      </w:r>
      <w:r>
        <w:rPr>
          <w:rFonts w:ascii="Times New Roman" w:eastAsia="Times New Roman" w:hAnsi="Times New Roman" w:cs="Times New Roman"/>
          <w:i/>
          <w:iCs/>
          <w:sz w:val="22"/>
          <w:szCs w:val="22"/>
        </w:rPr>
        <w:t>, primera variación</w:t>
      </w:r>
    </w:p>
    <w:p w14:paraId="48FDD431" w14:textId="77777777" w:rsidR="002360C3" w:rsidRDefault="00000000">
      <w:pPr>
        <w:spacing w:line="276" w:lineRule="auto"/>
        <w:jc w:val="center"/>
        <w:rPr>
          <w:rFonts w:ascii="Times New Roman" w:eastAsia="Times New Roman" w:hAnsi="Times New Roman" w:cs="Times New Roman"/>
          <w:b/>
          <w:bCs/>
          <w:sz w:val="18"/>
          <w:szCs w:val="18"/>
          <w:u w:val="single"/>
        </w:rPr>
      </w:pPr>
      <w:r>
        <w:rPr>
          <w:rFonts w:ascii="Times New Roman" w:eastAsia="Times New Roman" w:hAnsi="Times New Roman" w:cs="Times New Roman"/>
          <w:b/>
          <w:bCs/>
          <w:noProof/>
          <w:sz w:val="18"/>
          <w:szCs w:val="18"/>
          <w:u w:val="single"/>
        </w:rPr>
        <w:drawing>
          <wp:inline distT="114300" distB="114300" distL="114300" distR="114300" wp14:anchorId="548414B9" wp14:editId="32879D4E">
            <wp:extent cx="5612130" cy="850006"/>
            <wp:effectExtent l="0" t="0" r="1270" b="1270"/>
            <wp:docPr id="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rotWithShape="1">
                    <a:blip r:embed="rId15"/>
                    <a:srcRect b="7042"/>
                    <a:stretch>
                      <a:fillRect/>
                    </a:stretch>
                  </pic:blipFill>
                  <pic:spPr bwMode="auto">
                    <a:xfrm>
                      <a:off x="0" y="0"/>
                      <a:ext cx="5612130" cy="850006"/>
                    </a:xfrm>
                    <a:prstGeom prst="rect">
                      <a:avLst/>
                    </a:prstGeom>
                    <a:ln>
                      <a:noFill/>
                    </a:ln>
                    <a:extLst>
                      <a:ext uri="{53640926-AAD7-44D8-BBD7-CCE9431645EC}">
                        <a14:shadowObscured xmlns:a14="http://schemas.microsoft.com/office/drawing/2010/main"/>
                      </a:ext>
                    </a:extLst>
                  </pic:spPr>
                </pic:pic>
              </a:graphicData>
            </a:graphic>
          </wp:inline>
        </w:drawing>
      </w:r>
    </w:p>
    <w:p w14:paraId="4CC23DA8"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52C43869" w14:textId="77777777" w:rsidR="002360C3" w:rsidRDefault="002360C3">
      <w:pPr>
        <w:spacing w:line="276" w:lineRule="auto"/>
        <w:jc w:val="both"/>
        <w:rPr>
          <w:rFonts w:ascii="Times New Roman" w:eastAsia="Times New Roman" w:hAnsi="Times New Roman" w:cs="Times New Roman"/>
        </w:rPr>
      </w:pPr>
    </w:p>
    <w:p w14:paraId="4CB500F1" w14:textId="77777777" w:rsidR="002360C3" w:rsidRDefault="00000000">
      <w:pPr>
        <w:numPr>
          <w:ilvl w:val="0"/>
          <w:numId w:val="5"/>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Segunda variación</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 xml:space="preserve">Presente en el compás 21 (Figura 3). Se modifica el ritmo del primer compás mediante el uso de </w:t>
      </w:r>
      <w:commentRangeStart w:id="16"/>
      <w:r>
        <w:rPr>
          <w:rFonts w:ascii="Times New Roman" w:eastAsia="Times New Roman" w:hAnsi="Times New Roman" w:cs="Times New Roman"/>
        </w:rPr>
        <w:t>negras con puntillo</w:t>
      </w:r>
      <w:commentRangeEnd w:id="16"/>
      <w:r>
        <w:rPr>
          <w:rStyle w:val="Refdecomentario"/>
          <w:rFonts w:ascii="Times New Roman" w:eastAsia="Times New Roman" w:hAnsi="Times New Roman" w:cs="Times New Roman"/>
          <w:sz w:val="24"/>
          <w:szCs w:val="24"/>
        </w:rPr>
        <w:commentReference w:id="16"/>
      </w:r>
      <w:r>
        <w:rPr>
          <w:rFonts w:ascii="Times New Roman" w:eastAsia="Times New Roman" w:hAnsi="Times New Roman" w:cs="Times New Roman"/>
        </w:rPr>
        <w:t xml:space="preserve"> y notas de aproximación en corcheas, generando una disminución rítmica. El segundo compás se mantiene idéntico al motivo original, mientras que el tercer compás incorpora un puntillo en su primer tiempo, prolongando el valor de la nota y contribuyendo a la sensación de expansión.</w:t>
      </w:r>
    </w:p>
    <w:p w14:paraId="56F1ED80" w14:textId="77777777" w:rsidR="002360C3" w:rsidRDefault="002360C3">
      <w:pPr>
        <w:spacing w:line="276" w:lineRule="auto"/>
        <w:jc w:val="both"/>
        <w:rPr>
          <w:rFonts w:ascii="Times New Roman" w:eastAsia="Times New Roman" w:hAnsi="Times New Roman" w:cs="Times New Roman"/>
          <w:b/>
          <w:bCs/>
          <w:u w:val="single"/>
        </w:rPr>
      </w:pPr>
    </w:p>
    <w:p w14:paraId="1A311A13"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3</w:t>
      </w:r>
    </w:p>
    <w:p w14:paraId="68C204D2" w14:textId="77777777" w:rsidR="002360C3" w:rsidRDefault="00000000">
      <w:pPr>
        <w:spacing w:line="276" w:lineRule="auto"/>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Amanecer</w:t>
      </w:r>
      <w:r>
        <w:rPr>
          <w:rFonts w:ascii="Times New Roman" w:eastAsia="Times New Roman" w:hAnsi="Times New Roman" w:cs="Times New Roman"/>
          <w:i/>
          <w:iCs/>
          <w:sz w:val="22"/>
          <w:szCs w:val="22"/>
        </w:rPr>
        <w:t>, segunda variación</w:t>
      </w:r>
    </w:p>
    <w:p w14:paraId="763FD5C9"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48BC9D0A" wp14:editId="06E16EB0">
            <wp:extent cx="5612130" cy="889000"/>
            <wp:effectExtent l="0" t="0" r="0" b="0"/>
            <wp:docPr id="23"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16"/>
                    <a:srcRect/>
                    <a:stretch>
                      <a:fillRect/>
                    </a:stretch>
                  </pic:blipFill>
                  <pic:spPr>
                    <a:xfrm>
                      <a:off x="0" y="0"/>
                      <a:ext cx="5612130" cy="889000"/>
                    </a:xfrm>
                    <a:prstGeom prst="rect">
                      <a:avLst/>
                    </a:prstGeom>
                    <a:ln/>
                  </pic:spPr>
                </pic:pic>
              </a:graphicData>
            </a:graphic>
          </wp:inline>
        </w:drawing>
      </w:r>
    </w:p>
    <w:p w14:paraId="09F976A2" w14:textId="77777777" w:rsidR="002360C3" w:rsidRDefault="00000000">
      <w:pPr>
        <w:spacing w:line="276" w:lineRule="auto"/>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4248ED02" w14:textId="77777777" w:rsidR="002360C3" w:rsidRDefault="002360C3">
      <w:pPr>
        <w:spacing w:line="276" w:lineRule="auto"/>
        <w:jc w:val="both"/>
        <w:rPr>
          <w:rFonts w:ascii="Times New Roman" w:eastAsia="Times New Roman" w:hAnsi="Times New Roman" w:cs="Times New Roman"/>
          <w:b/>
          <w:bCs/>
          <w:u w:val="single"/>
        </w:rPr>
      </w:pPr>
    </w:p>
    <w:p w14:paraId="02B93C7F" w14:textId="77777777" w:rsidR="002360C3" w:rsidRDefault="00000000">
      <w:pPr>
        <w:numPr>
          <w:ilvl w:val="0"/>
          <w:numId w:val="5"/>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Tercera variación</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 xml:space="preserve">Se encuentra en los compases 29 y 35 (Figura 4). Consiste en una transposición del primer compás del motivo original, elevándose una onceava justa para ser interpretada por el violín. Esta variación se caracteriza por una disminución </w:t>
      </w:r>
      <w:r>
        <w:rPr>
          <w:rFonts w:ascii="Times New Roman" w:eastAsia="Times New Roman" w:hAnsi="Times New Roman" w:cs="Times New Roman"/>
        </w:rPr>
        <w:lastRenderedPageBreak/>
        <w:t>rítmica, es decir, el motivo se expone con la mitad de su valor rítmico original, manteniendo la misma relación interválica. Este cambio de registro y la agilización rítmica en el violín sugieren un aumento gradual de la claridad y la actividad a medida que el amanecer avanza.</w:t>
      </w:r>
    </w:p>
    <w:p w14:paraId="561D8D35" w14:textId="77777777" w:rsidR="002360C3" w:rsidRDefault="002360C3">
      <w:pPr>
        <w:spacing w:line="276" w:lineRule="auto"/>
        <w:jc w:val="both"/>
        <w:rPr>
          <w:rFonts w:ascii="Times New Roman" w:eastAsia="Times New Roman" w:hAnsi="Times New Roman" w:cs="Times New Roman"/>
          <w:b/>
          <w:bCs/>
          <w:u w:val="single"/>
        </w:rPr>
      </w:pPr>
    </w:p>
    <w:p w14:paraId="46BF001F"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4</w:t>
      </w:r>
    </w:p>
    <w:p w14:paraId="2874853F" w14:textId="77777777" w:rsidR="002360C3" w:rsidRDefault="00000000">
      <w:pPr>
        <w:spacing w:line="276" w:lineRule="auto"/>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Amanecer</w:t>
      </w:r>
      <w:r>
        <w:rPr>
          <w:rFonts w:ascii="Times New Roman" w:eastAsia="Times New Roman" w:hAnsi="Times New Roman" w:cs="Times New Roman"/>
          <w:i/>
          <w:iCs/>
          <w:sz w:val="22"/>
          <w:szCs w:val="22"/>
        </w:rPr>
        <w:t>, tercera variación</w:t>
      </w:r>
    </w:p>
    <w:p w14:paraId="19288F84"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1160188D" wp14:editId="2E9A9F0F">
            <wp:extent cx="3892165" cy="977981"/>
            <wp:effectExtent l="0" t="0" r="0" b="0"/>
            <wp:docPr id="1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7"/>
                    <a:srcRect/>
                    <a:stretch>
                      <a:fillRect/>
                    </a:stretch>
                  </pic:blipFill>
                  <pic:spPr>
                    <a:xfrm>
                      <a:off x="0" y="0"/>
                      <a:ext cx="3892165" cy="977981"/>
                    </a:xfrm>
                    <a:prstGeom prst="rect">
                      <a:avLst/>
                    </a:prstGeom>
                    <a:ln/>
                  </pic:spPr>
                </pic:pic>
              </a:graphicData>
            </a:graphic>
          </wp:inline>
        </w:drawing>
      </w:r>
    </w:p>
    <w:p w14:paraId="44167553"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2C9FB7BC" w14:textId="77777777" w:rsidR="002360C3" w:rsidRDefault="002360C3">
      <w:pPr>
        <w:spacing w:line="276" w:lineRule="auto"/>
        <w:jc w:val="both"/>
        <w:rPr>
          <w:rFonts w:ascii="Times New Roman" w:eastAsia="Times New Roman" w:hAnsi="Times New Roman" w:cs="Times New Roman"/>
        </w:rPr>
      </w:pPr>
    </w:p>
    <w:p w14:paraId="06588530"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A partir del compás 45, el motivo principal reaparece, esta vez en el modo </w:t>
      </w:r>
      <w:r>
        <w:rPr>
          <w:rFonts w:ascii="Times New Roman" w:eastAsia="Times New Roman" w:hAnsi="Times New Roman" w:cs="Times New Roman"/>
          <w:i/>
          <w:iCs/>
        </w:rPr>
        <w:t>la</w:t>
      </w:r>
      <w:r>
        <w:rPr>
          <w:rFonts w:ascii="Times New Roman" w:eastAsia="Times New Roman" w:hAnsi="Times New Roman" w:cs="Times New Roman"/>
        </w:rPr>
        <w:t xml:space="preserve"> eólico, transpuesto una duodécima más aguda en relación con la exposición original. Esta reexposición, enriquecida por las variaciones rítmicas y melódicas previamente exploradas, impulsa la pieza hacia su conclusión, marcando un claro avance en la progresión lumínica.</w:t>
      </w:r>
    </w:p>
    <w:p w14:paraId="0CFA2668"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Los recursos expresivos utilizados, como </w:t>
      </w:r>
      <w:r>
        <w:rPr>
          <w:rFonts w:ascii="Times New Roman" w:eastAsia="Times New Roman" w:hAnsi="Times New Roman" w:cs="Times New Roman"/>
          <w:i/>
          <w:iCs/>
        </w:rPr>
        <w:t>crescendo</w:t>
      </w:r>
      <w:r>
        <w:rPr>
          <w:rFonts w:ascii="Times New Roman" w:eastAsia="Times New Roman" w:hAnsi="Times New Roman" w:cs="Times New Roman"/>
        </w:rPr>
        <w:t>, </w:t>
      </w:r>
      <w:r>
        <w:rPr>
          <w:rFonts w:ascii="Times New Roman" w:eastAsia="Times New Roman" w:hAnsi="Times New Roman" w:cs="Times New Roman"/>
          <w:i/>
          <w:iCs/>
        </w:rPr>
        <w:t>decrescendo</w:t>
      </w:r>
      <w:r>
        <w:rPr>
          <w:rFonts w:ascii="Times New Roman" w:eastAsia="Times New Roman" w:hAnsi="Times New Roman" w:cs="Times New Roman"/>
        </w:rPr>
        <w:t>, </w:t>
      </w:r>
      <w:r>
        <w:rPr>
          <w:rFonts w:ascii="Times New Roman" w:eastAsia="Times New Roman" w:hAnsi="Times New Roman" w:cs="Times New Roman"/>
          <w:i/>
          <w:iCs/>
        </w:rPr>
        <w:t>staccato</w:t>
      </w:r>
      <w:r>
        <w:rPr>
          <w:rFonts w:ascii="Times New Roman" w:eastAsia="Times New Roman" w:hAnsi="Times New Roman" w:cs="Times New Roman"/>
        </w:rPr>
        <w:t>, acentos y ligaduras de expresión, junto con dinámicas que oscilan entre piano (</w:t>
      </w:r>
      <w:r>
        <w:rPr>
          <w:rFonts w:ascii="Times New Roman" w:eastAsia="Times New Roman" w:hAnsi="Times New Roman" w:cs="Times New Roman"/>
          <w:b/>
          <w:bCs/>
        </w:rPr>
        <w:t>p</w:t>
      </w:r>
      <w:r>
        <w:rPr>
          <w:rFonts w:ascii="Times New Roman" w:eastAsia="Times New Roman" w:hAnsi="Times New Roman" w:cs="Times New Roman"/>
        </w:rPr>
        <w:t>) y mezzoforte (</w:t>
      </w:r>
      <w:r>
        <w:rPr>
          <w:rFonts w:ascii="Times New Roman" w:eastAsia="Times New Roman" w:hAnsi="Times New Roman" w:cs="Times New Roman"/>
          <w:b/>
          <w:bCs/>
        </w:rPr>
        <w:t>mf</w:t>
      </w:r>
      <w:r>
        <w:rPr>
          <w:rFonts w:ascii="Times New Roman" w:eastAsia="Times New Roman" w:hAnsi="Times New Roman" w:cs="Times New Roman"/>
        </w:rPr>
        <w:t>), son fundamentales para modelar el discurso melódico y la sensación de brillo</w:t>
      </w:r>
      <w:r>
        <w:rPr>
          <w:rFonts w:ascii="Times New Roman" w:eastAsia="Times New Roman" w:hAnsi="Times New Roman" w:cs="Times New Roman"/>
          <w:i/>
          <w:iCs/>
          <w:sz w:val="20"/>
          <w:szCs w:val="20"/>
        </w:rPr>
        <w:t>–</w:t>
      </w:r>
      <w:r>
        <w:rPr>
          <w:rFonts w:ascii="Times New Roman" w:eastAsia="Times New Roman" w:hAnsi="Times New Roman" w:cs="Times New Roman"/>
        </w:rPr>
        <w:t>oscuridad a lo largo de la pieza.</w:t>
      </w:r>
    </w:p>
    <w:p w14:paraId="73A01E73"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La estructura armónica de la Sección A se basa en el modo </w:t>
      </w:r>
      <w:r>
        <w:rPr>
          <w:rFonts w:ascii="Times New Roman" w:eastAsia="Times New Roman" w:hAnsi="Times New Roman" w:cs="Times New Roman"/>
          <w:i/>
          <w:iCs/>
        </w:rPr>
        <w:t>si</w:t>
      </w:r>
      <w:r>
        <w:rPr>
          <w:rFonts w:ascii="Times New Roman" w:eastAsia="Times New Roman" w:hAnsi="Times New Roman" w:cs="Times New Roman"/>
        </w:rPr>
        <w:t xml:space="preserve"> frigio, utilizando predominantemente los acordes primarios </w:t>
      </w:r>
      <w:r>
        <w:rPr>
          <w:rFonts w:ascii="Times New Roman" w:eastAsia="Times New Roman" w:hAnsi="Times New Roman" w:cs="Times New Roman"/>
          <w:i/>
          <w:iCs/>
        </w:rPr>
        <w:t>si</w:t>
      </w:r>
      <w:r>
        <w:rPr>
          <w:rFonts w:ascii="Times New Roman" w:eastAsia="Times New Roman" w:hAnsi="Times New Roman" w:cs="Times New Roman"/>
        </w:rPr>
        <w:t xml:space="preserve"> menor (o </w:t>
      </w:r>
      <w:r>
        <w:rPr>
          <w:rFonts w:ascii="Times New Roman" w:eastAsia="Times New Roman" w:hAnsi="Times New Roman" w:cs="Times New Roman"/>
          <w:i/>
          <w:iCs/>
        </w:rPr>
        <w:t>si</w:t>
      </w:r>
      <w:r>
        <w:rPr>
          <w:rFonts w:ascii="Times New Roman" w:eastAsia="Times New Roman" w:hAnsi="Times New Roman" w:cs="Times New Roman"/>
        </w:rPr>
        <w:t xml:space="preserve"> sus4) y </w:t>
      </w:r>
      <w:r>
        <w:rPr>
          <w:rFonts w:ascii="Times New Roman" w:eastAsia="Times New Roman" w:hAnsi="Times New Roman" w:cs="Times New Roman"/>
          <w:i/>
          <w:iCs/>
        </w:rPr>
        <w:t>do</w:t>
      </w:r>
      <w:r>
        <w:rPr>
          <w:rFonts w:ascii="Times New Roman" w:eastAsia="Times New Roman" w:hAnsi="Times New Roman" w:cs="Times New Roman"/>
        </w:rPr>
        <w:t xml:space="preserve">. En el compás 29, se introduce una combinación de </w:t>
      </w:r>
      <w:r>
        <w:rPr>
          <w:rFonts w:ascii="Times New Roman" w:eastAsia="Times New Roman" w:hAnsi="Times New Roman" w:cs="Times New Roman"/>
          <w:i/>
          <w:iCs/>
        </w:rPr>
        <w:t>si</w:t>
      </w:r>
      <w:r>
        <w:rPr>
          <w:rFonts w:ascii="Times New Roman" w:eastAsia="Times New Roman" w:hAnsi="Times New Roman" w:cs="Times New Roman"/>
        </w:rPr>
        <w:t xml:space="preserve"> menor (o </w:t>
      </w:r>
      <w:r>
        <w:rPr>
          <w:rFonts w:ascii="Times New Roman" w:eastAsia="Times New Roman" w:hAnsi="Times New Roman" w:cs="Times New Roman"/>
          <w:i/>
          <w:iCs/>
        </w:rPr>
        <w:t>si</w:t>
      </w:r>
      <w:r>
        <w:rPr>
          <w:rFonts w:ascii="Times New Roman" w:eastAsia="Times New Roman" w:hAnsi="Times New Roman" w:cs="Times New Roman"/>
        </w:rPr>
        <w:t xml:space="preserve"> sus4) y </w:t>
      </w:r>
      <w:r>
        <w:rPr>
          <w:rFonts w:ascii="Times New Roman" w:eastAsia="Times New Roman" w:hAnsi="Times New Roman" w:cs="Times New Roman"/>
          <w:i/>
          <w:iCs/>
        </w:rPr>
        <w:t>mi</w:t>
      </w:r>
      <w:r>
        <w:rPr>
          <w:rFonts w:ascii="Times New Roman" w:eastAsia="Times New Roman" w:hAnsi="Times New Roman" w:cs="Times New Roman"/>
        </w:rPr>
        <w:t xml:space="preserve"> menor. Esta elección modal y armónica subraya el carácter introspectivo y ligeramente melancólico del amanecer. La Sección B se desarrolla armónicamente en el modo </w:t>
      </w:r>
      <w:r>
        <w:rPr>
          <w:rFonts w:ascii="Times New Roman" w:eastAsia="Times New Roman" w:hAnsi="Times New Roman" w:cs="Times New Roman"/>
          <w:i/>
          <w:iCs/>
        </w:rPr>
        <w:t>la</w:t>
      </w:r>
      <w:r>
        <w:rPr>
          <w:rFonts w:ascii="Times New Roman" w:eastAsia="Times New Roman" w:hAnsi="Times New Roman" w:cs="Times New Roman"/>
        </w:rPr>
        <w:t xml:space="preserve"> eólico. Aquí, el motivo principal es nuevamente expuesto por el violín, empleando un contrapunto en espejo elevado a la décima respecto al motivo original, una técnica que añade una capa de complejidad y riqueza textural. Los acordes utilizados en esta sección </w:t>
      </w:r>
      <w:r>
        <w:rPr>
          <w:rFonts w:ascii="Times New Roman" w:eastAsia="Times New Roman" w:hAnsi="Times New Roman" w:cs="Times New Roman"/>
          <w:color w:val="1A1C1E"/>
          <w:sz w:val="20"/>
          <w:szCs w:val="20"/>
        </w:rPr>
        <w:t>—</w:t>
      </w:r>
      <w:r>
        <w:rPr>
          <w:rFonts w:ascii="Times New Roman" w:eastAsia="Times New Roman" w:hAnsi="Times New Roman" w:cs="Times New Roman"/>
          <w:i/>
          <w:iCs/>
        </w:rPr>
        <w:t xml:space="preserve">la </w:t>
      </w:r>
      <w:r>
        <w:rPr>
          <w:rFonts w:ascii="Times New Roman" w:eastAsia="Times New Roman" w:hAnsi="Times New Roman" w:cs="Times New Roman"/>
        </w:rPr>
        <w:t xml:space="preserve">menor, </w:t>
      </w:r>
      <w:r>
        <w:rPr>
          <w:rFonts w:ascii="Times New Roman" w:eastAsia="Times New Roman" w:hAnsi="Times New Roman" w:cs="Times New Roman"/>
          <w:i/>
          <w:iCs/>
        </w:rPr>
        <w:t>re</w:t>
      </w:r>
      <w:r>
        <w:rPr>
          <w:rFonts w:ascii="Times New Roman" w:eastAsia="Times New Roman" w:hAnsi="Times New Roman" w:cs="Times New Roman"/>
        </w:rPr>
        <w:t xml:space="preserve"> menor 7, </w:t>
      </w:r>
      <w:r>
        <w:rPr>
          <w:rFonts w:ascii="Times New Roman" w:eastAsia="Times New Roman" w:hAnsi="Times New Roman" w:cs="Times New Roman"/>
          <w:i/>
          <w:iCs/>
        </w:rPr>
        <w:t>mi</w:t>
      </w:r>
      <w:r>
        <w:rPr>
          <w:rFonts w:ascii="Times New Roman" w:eastAsia="Times New Roman" w:hAnsi="Times New Roman" w:cs="Times New Roman"/>
        </w:rPr>
        <w:t xml:space="preserve"> menor y </w:t>
      </w:r>
      <w:r>
        <w:rPr>
          <w:rFonts w:ascii="Times New Roman" w:eastAsia="Times New Roman" w:hAnsi="Times New Roman" w:cs="Times New Roman"/>
          <w:i/>
          <w:iCs/>
        </w:rPr>
        <w:t xml:space="preserve">fa </w:t>
      </w:r>
      <w:r>
        <w:rPr>
          <w:rFonts w:ascii="Times New Roman" w:eastAsia="Times New Roman" w:hAnsi="Times New Roman" w:cs="Times New Roman"/>
        </w:rPr>
        <w:t>seis</w:t>
      </w:r>
      <w:r>
        <w:rPr>
          <w:rFonts w:ascii="Times New Roman" w:eastAsia="Times New Roman" w:hAnsi="Times New Roman" w:cs="Times New Roman"/>
          <w:color w:val="1A1C1E"/>
          <w:sz w:val="20"/>
          <w:szCs w:val="20"/>
        </w:rPr>
        <w:t>—</w:t>
      </w:r>
      <w:r>
        <w:rPr>
          <w:rFonts w:ascii="Times New Roman" w:eastAsia="Times New Roman" w:hAnsi="Times New Roman" w:cs="Times New Roman"/>
        </w:rPr>
        <w:t xml:space="preserve"> delinean la sonoridad del modo </w:t>
      </w:r>
      <w:r>
        <w:rPr>
          <w:rFonts w:ascii="Times New Roman" w:eastAsia="Times New Roman" w:hAnsi="Times New Roman" w:cs="Times New Roman"/>
          <w:i/>
          <w:iCs/>
        </w:rPr>
        <w:t>la</w:t>
      </w:r>
      <w:r>
        <w:rPr>
          <w:rFonts w:ascii="Times New Roman" w:eastAsia="Times New Roman" w:hAnsi="Times New Roman" w:cs="Times New Roman"/>
        </w:rPr>
        <w:t xml:space="preserve"> eólico, aportando un matiz de mayor apertura y una sutil indicación de la transición hacia la luminosidad diurna.</w:t>
      </w:r>
    </w:p>
    <w:p w14:paraId="60BD043B" w14:textId="77777777" w:rsidR="002360C3" w:rsidRDefault="002360C3">
      <w:pPr>
        <w:spacing w:line="276" w:lineRule="auto"/>
        <w:jc w:val="both"/>
        <w:rPr>
          <w:rFonts w:ascii="Times New Roman" w:eastAsia="Times New Roman" w:hAnsi="Times New Roman" w:cs="Times New Roman"/>
        </w:rPr>
      </w:pPr>
    </w:p>
    <w:p w14:paraId="4E583F32" w14:textId="77777777" w:rsidR="002360C3" w:rsidRDefault="00000000">
      <w:pPr>
        <w:spacing w:line="276"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Mañana</w:t>
      </w:r>
    </w:p>
    <w:p w14:paraId="2A7D535B"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“Mañana” es la segunda pieza de la obra y representa el continuo incremento del brillo tras el amanecer, transitando desde la cualidad del modo dórico hacia la mayor luminosidad del mixolidio. Se utilizan los modos </w:t>
      </w:r>
      <w:r>
        <w:rPr>
          <w:rFonts w:ascii="Times New Roman" w:eastAsia="Times New Roman" w:hAnsi="Times New Roman" w:cs="Times New Roman"/>
          <w:i/>
          <w:iCs/>
        </w:rPr>
        <w:t>do</w:t>
      </w:r>
      <w:r>
        <w:rPr>
          <w:rFonts w:ascii="Times New Roman" w:eastAsia="Times New Roman" w:hAnsi="Times New Roman" w:cs="Times New Roman"/>
        </w:rPr>
        <w:t xml:space="preserve"> dórico y </w:t>
      </w:r>
      <w:r>
        <w:rPr>
          <w:rFonts w:ascii="Times New Roman" w:eastAsia="Times New Roman" w:hAnsi="Times New Roman" w:cs="Times New Roman"/>
          <w:i/>
          <w:iCs/>
        </w:rPr>
        <w:t>sol</w:t>
      </w:r>
      <w:r>
        <w:rPr>
          <w:rFonts w:ascii="Times New Roman" w:eastAsia="Times New Roman" w:hAnsi="Times New Roman" w:cs="Times New Roman"/>
        </w:rPr>
        <w:t xml:space="preserve"> mixolidio</w:t>
      </w:r>
      <w:r>
        <w:rPr>
          <w:rFonts w:ascii="Times New Roman" w:eastAsia="Times New Roman" w:hAnsi="Times New Roman" w:cs="Times New Roman"/>
          <w:b/>
          <w:bCs/>
        </w:rPr>
        <w:t xml:space="preserve"> </w:t>
      </w:r>
      <w:r>
        <w:rPr>
          <w:rFonts w:ascii="Times New Roman" w:eastAsia="Times New Roman" w:hAnsi="Times New Roman" w:cs="Times New Roman"/>
        </w:rPr>
        <w:t xml:space="preserve">para configurar el sistema melódico y armónico. El </w:t>
      </w:r>
      <w:r>
        <w:rPr>
          <w:rFonts w:ascii="Times New Roman" w:eastAsia="Times New Roman" w:hAnsi="Times New Roman" w:cs="Times New Roman"/>
          <w:i/>
          <w:iCs/>
        </w:rPr>
        <w:t>do</w:t>
      </w:r>
      <w:r>
        <w:rPr>
          <w:rFonts w:ascii="Times New Roman" w:eastAsia="Times New Roman" w:hAnsi="Times New Roman" w:cs="Times New Roman"/>
        </w:rPr>
        <w:t xml:space="preserve"> dórico, con su sexta mayor, introduce una sonoridad más clara y menos sombría que el frigio o el eólico, aunque aún conserva un matiz de moderación. El </w:t>
      </w:r>
      <w:r>
        <w:rPr>
          <w:rFonts w:ascii="Times New Roman" w:eastAsia="Times New Roman" w:hAnsi="Times New Roman" w:cs="Times New Roman"/>
          <w:i/>
          <w:iCs/>
        </w:rPr>
        <w:t>sol</w:t>
      </w:r>
      <w:r>
        <w:rPr>
          <w:rFonts w:ascii="Times New Roman" w:eastAsia="Times New Roman" w:hAnsi="Times New Roman" w:cs="Times New Roman"/>
        </w:rPr>
        <w:t xml:space="preserve"> mixolidio, por su parte, con su séptima menor, se percibe como más directo y brillante, anticipando la plenitud del mediodía. La pieza se mantiene en una métrica de cuatro cuartos (4/4) y se organiza en una forma binaria (A B), con la sección A comprendiendo 32 compases y la sección B, 36 compases.</w:t>
      </w:r>
    </w:p>
    <w:p w14:paraId="24F39D02"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La pieza inicia con una introducción homófona a cargo del violín y el violonchelo en los primeros cuatro compases, estableciendo la sonoridad del modo </w:t>
      </w:r>
      <w:r>
        <w:rPr>
          <w:rFonts w:ascii="Times New Roman" w:eastAsia="Times New Roman" w:hAnsi="Times New Roman" w:cs="Times New Roman"/>
          <w:i/>
          <w:iCs/>
        </w:rPr>
        <w:t>do</w:t>
      </w:r>
      <w:r>
        <w:rPr>
          <w:rFonts w:ascii="Times New Roman" w:eastAsia="Times New Roman" w:hAnsi="Times New Roman" w:cs="Times New Roman"/>
        </w:rPr>
        <w:t xml:space="preserve"> dórico. En el compás 5, el piano hace su entrada en un registro agudo y en octavas, con las notas </w:t>
      </w:r>
      <w:r>
        <w:rPr>
          <w:rFonts w:ascii="Times New Roman" w:eastAsia="Times New Roman" w:hAnsi="Times New Roman" w:cs="Times New Roman"/>
          <w:i/>
          <w:iCs/>
        </w:rPr>
        <w:t>la</w:t>
      </w:r>
      <w:r>
        <w:rPr>
          <w:rFonts w:ascii="Times New Roman" w:eastAsia="Times New Roman" w:hAnsi="Times New Roman" w:cs="Times New Roman"/>
        </w:rPr>
        <w:t xml:space="preserve"> y </w:t>
      </w:r>
      <w:r>
        <w:rPr>
          <w:rFonts w:ascii="Times New Roman" w:eastAsia="Times New Roman" w:hAnsi="Times New Roman" w:cs="Times New Roman"/>
          <w:i/>
          <w:iCs/>
        </w:rPr>
        <w:t>sol</w:t>
      </w:r>
      <w:r>
        <w:rPr>
          <w:rFonts w:ascii="Times New Roman" w:eastAsia="Times New Roman" w:hAnsi="Times New Roman" w:cs="Times New Roman"/>
        </w:rPr>
        <w:t>. Esta aparición del piano en un registro alto es deliberada para evocar los primeros “visos de brillo” de la mañana, marcando el paso a una textura predominantemente polifónica que se mantendrá a lo largo de la pieza, permitiendo un juego de voces que simboliza la creciente complejidad y vitalidad del día.</w:t>
      </w:r>
    </w:p>
    <w:p w14:paraId="30DB0C20"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El motivo melódico principal de “Mañana” emerge en el compás 13, interpretado por el violín en su registro medio (Figura 5). Construido sobre el modo </w:t>
      </w:r>
      <w:r>
        <w:rPr>
          <w:rFonts w:ascii="Times New Roman" w:eastAsia="Times New Roman" w:hAnsi="Times New Roman" w:cs="Times New Roman"/>
          <w:i/>
          <w:iCs/>
        </w:rPr>
        <w:t>do</w:t>
      </w:r>
      <w:r>
        <w:rPr>
          <w:rFonts w:ascii="Times New Roman" w:eastAsia="Times New Roman" w:hAnsi="Times New Roman" w:cs="Times New Roman"/>
        </w:rPr>
        <w:t xml:space="preserve"> dórico, este motivo es un pilar temático para el desarrollo posterior. Una característica melódico</w:t>
      </w:r>
      <w:r>
        <w:rPr>
          <w:rFonts w:ascii="Times New Roman" w:eastAsia="Times New Roman" w:hAnsi="Times New Roman" w:cs="Times New Roman"/>
          <w:i/>
          <w:iCs/>
          <w:sz w:val="20"/>
          <w:szCs w:val="20"/>
        </w:rPr>
        <w:t>–</w:t>
      </w:r>
      <w:r>
        <w:rPr>
          <w:rFonts w:ascii="Times New Roman" w:eastAsia="Times New Roman" w:hAnsi="Times New Roman" w:cs="Times New Roman"/>
        </w:rPr>
        <w:t>armónica distintiva se presenta cuando este mismo motivo es interpretado por el piano en el compás 15, transpuesto un tono arriba. Aquí, cada nota de la melodía se convierte en la nota más aguda de la estructura de un acorde del modo, creando una sonoridad rica y expansiva. Esta técnica se repite en el compás 17, esta vez sin transposición, armonizado por el piano, lo que refuerza la presencia del motivo y su cualidad armónica.</w:t>
      </w:r>
    </w:p>
    <w:p w14:paraId="5E6CFC84" w14:textId="77777777" w:rsidR="002360C3" w:rsidRDefault="002360C3">
      <w:pPr>
        <w:spacing w:line="276" w:lineRule="auto"/>
        <w:jc w:val="both"/>
        <w:rPr>
          <w:rFonts w:ascii="Times New Roman" w:eastAsia="Times New Roman" w:hAnsi="Times New Roman" w:cs="Times New Roman"/>
        </w:rPr>
      </w:pPr>
    </w:p>
    <w:p w14:paraId="16204C71"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5</w:t>
      </w:r>
    </w:p>
    <w:p w14:paraId="70214185" w14:textId="77777777" w:rsidR="002360C3"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Mañana</w:t>
      </w:r>
    </w:p>
    <w:p w14:paraId="46DB8D8B"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7CD4C103" wp14:editId="08FD83A2">
            <wp:extent cx="5049203" cy="1090270"/>
            <wp:effectExtent l="0" t="0" r="0" b="0"/>
            <wp:docPr id="18"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18"/>
                    <a:srcRect/>
                    <a:stretch>
                      <a:fillRect/>
                    </a:stretch>
                  </pic:blipFill>
                  <pic:spPr>
                    <a:xfrm>
                      <a:off x="0" y="0"/>
                      <a:ext cx="5049203" cy="1090270"/>
                    </a:xfrm>
                    <a:prstGeom prst="rect">
                      <a:avLst/>
                    </a:prstGeom>
                    <a:ln/>
                  </pic:spPr>
                </pic:pic>
              </a:graphicData>
            </a:graphic>
          </wp:inline>
        </w:drawing>
      </w:r>
    </w:p>
    <w:p w14:paraId="6FD1DB7E"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60DE7459" w14:textId="77777777" w:rsidR="002360C3" w:rsidRDefault="002360C3">
      <w:pPr>
        <w:spacing w:line="276" w:lineRule="auto"/>
        <w:jc w:val="both"/>
        <w:rPr>
          <w:rFonts w:ascii="Times New Roman" w:eastAsia="Times New Roman" w:hAnsi="Times New Roman" w:cs="Times New Roman"/>
        </w:rPr>
      </w:pPr>
    </w:p>
    <w:p w14:paraId="512252AC"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El tratamiento temático del motivo principal se extiende a través de cuatro variaciones:</w:t>
      </w:r>
    </w:p>
    <w:p w14:paraId="2CCA703F" w14:textId="77777777" w:rsidR="002360C3" w:rsidRDefault="002360C3">
      <w:pPr>
        <w:spacing w:line="276" w:lineRule="auto"/>
        <w:jc w:val="both"/>
        <w:rPr>
          <w:rFonts w:ascii="Times New Roman" w:eastAsia="Times New Roman" w:hAnsi="Times New Roman" w:cs="Times New Roman"/>
        </w:rPr>
      </w:pPr>
    </w:p>
    <w:p w14:paraId="6D40D99B" w14:textId="77777777" w:rsidR="002360C3" w:rsidRDefault="00000000">
      <w:pPr>
        <w:numPr>
          <w:ilvl w:val="0"/>
          <w:numId w:val="6"/>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Primera variación</w:t>
      </w:r>
      <w:r>
        <w:rPr>
          <w:rFonts w:ascii="Times New Roman" w:eastAsia="Times New Roman" w:hAnsi="Times New Roman" w:cs="Times New Roman"/>
        </w:rPr>
        <w:t>: Se encuentra en el compás 17, interpretada por el violonchelo (Figura 6). Esta variación modifica los tiempos 3 y 4 del primer compás del motivo original mediante una disminución rítmica. Las notas originales de la melodía se conservan en los tiempos fuertes, mientras que en los tiempos débiles se introducen notas de aproximación, resultantes de la disminución, que aportan un sentido de fluidez y energía contenida.</w:t>
      </w:r>
    </w:p>
    <w:p w14:paraId="6BE8FC67" w14:textId="77777777" w:rsidR="002360C3" w:rsidRDefault="002360C3">
      <w:pPr>
        <w:spacing w:line="276" w:lineRule="auto"/>
        <w:jc w:val="both"/>
        <w:rPr>
          <w:rFonts w:ascii="Times New Roman" w:eastAsia="Times New Roman" w:hAnsi="Times New Roman" w:cs="Times New Roman"/>
        </w:rPr>
      </w:pPr>
    </w:p>
    <w:p w14:paraId="6427E73D"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6</w:t>
      </w:r>
    </w:p>
    <w:p w14:paraId="69DEF7AF" w14:textId="77777777" w:rsidR="002360C3" w:rsidRDefault="00000000">
      <w:pPr>
        <w:spacing w:line="276" w:lineRule="auto"/>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Mañana</w:t>
      </w:r>
      <w:r>
        <w:rPr>
          <w:rFonts w:ascii="Times New Roman" w:eastAsia="Times New Roman" w:hAnsi="Times New Roman" w:cs="Times New Roman"/>
          <w:i/>
          <w:iCs/>
          <w:sz w:val="22"/>
          <w:szCs w:val="22"/>
        </w:rPr>
        <w:t>, primera variación</w:t>
      </w:r>
    </w:p>
    <w:p w14:paraId="29D0DD53"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00AF94C7" wp14:editId="6AEB4F3C">
            <wp:extent cx="5612130" cy="1079500"/>
            <wp:effectExtent l="0" t="0" r="0" b="0"/>
            <wp:docPr id="1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9"/>
                    <a:srcRect/>
                    <a:stretch>
                      <a:fillRect/>
                    </a:stretch>
                  </pic:blipFill>
                  <pic:spPr>
                    <a:xfrm>
                      <a:off x="0" y="0"/>
                      <a:ext cx="5612130" cy="1079500"/>
                    </a:xfrm>
                    <a:prstGeom prst="rect">
                      <a:avLst/>
                    </a:prstGeom>
                    <a:ln/>
                  </pic:spPr>
                </pic:pic>
              </a:graphicData>
            </a:graphic>
          </wp:inline>
        </w:drawing>
      </w:r>
    </w:p>
    <w:p w14:paraId="4CC79071"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1EFD3058" w14:textId="77777777" w:rsidR="002360C3" w:rsidRDefault="002360C3">
      <w:pPr>
        <w:spacing w:line="276" w:lineRule="auto"/>
        <w:jc w:val="both"/>
        <w:rPr>
          <w:rFonts w:ascii="Times New Roman" w:eastAsia="Times New Roman" w:hAnsi="Times New Roman" w:cs="Times New Roman"/>
        </w:rPr>
      </w:pPr>
    </w:p>
    <w:p w14:paraId="72346C05" w14:textId="77777777" w:rsidR="002360C3" w:rsidRDefault="00000000">
      <w:pPr>
        <w:numPr>
          <w:ilvl w:val="0"/>
          <w:numId w:val="6"/>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Segunda variación</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Interpretada por el violín en el compás 19 (Figura 7). Mantiene la modificación de los tiempos 3 y 4 del primer compás de la primera variación. Además, introduce una disminución rítmico</w:t>
      </w:r>
      <w:r>
        <w:rPr>
          <w:rFonts w:ascii="Times New Roman" w:eastAsia="Times New Roman" w:hAnsi="Times New Roman" w:cs="Times New Roman"/>
          <w:i/>
          <w:iCs/>
          <w:sz w:val="20"/>
          <w:szCs w:val="20"/>
        </w:rPr>
        <w:t>–</w:t>
      </w:r>
      <w:r>
        <w:rPr>
          <w:rFonts w:ascii="Times New Roman" w:eastAsia="Times New Roman" w:hAnsi="Times New Roman" w:cs="Times New Roman"/>
        </w:rPr>
        <w:t>melódica en corcheas en los tiempos 1 y 2 del segundo compás, con notas de aproximación en los tiempos débiles, lo que intensifica la actividad rítmica y la sensación de aceleración que caracteriza el avance de la mañana.</w:t>
      </w:r>
    </w:p>
    <w:p w14:paraId="6020E3AA" w14:textId="77777777" w:rsidR="002360C3" w:rsidRDefault="002360C3">
      <w:pPr>
        <w:spacing w:line="276" w:lineRule="auto"/>
        <w:jc w:val="both"/>
        <w:rPr>
          <w:rFonts w:ascii="Times New Roman" w:eastAsia="Times New Roman" w:hAnsi="Times New Roman" w:cs="Times New Roman"/>
        </w:rPr>
      </w:pPr>
    </w:p>
    <w:p w14:paraId="68CAE784"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7</w:t>
      </w:r>
    </w:p>
    <w:p w14:paraId="4B20AF55" w14:textId="77777777" w:rsidR="002360C3" w:rsidRDefault="00000000">
      <w:pPr>
        <w:spacing w:line="276" w:lineRule="auto"/>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Mañana</w:t>
      </w:r>
      <w:r>
        <w:rPr>
          <w:rFonts w:ascii="Times New Roman" w:eastAsia="Times New Roman" w:hAnsi="Times New Roman" w:cs="Times New Roman"/>
          <w:i/>
          <w:iCs/>
          <w:sz w:val="22"/>
          <w:szCs w:val="22"/>
        </w:rPr>
        <w:t>, segunda variación</w:t>
      </w:r>
    </w:p>
    <w:p w14:paraId="3FF33DCD"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604BB2CC" wp14:editId="53172708">
            <wp:extent cx="5547360" cy="1266825"/>
            <wp:effectExtent l="0" t="0" r="0" b="0"/>
            <wp:docPr id="26"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20"/>
                    <a:srcRect l="1121"/>
                    <a:stretch>
                      <a:fillRect/>
                    </a:stretch>
                  </pic:blipFill>
                  <pic:spPr>
                    <a:xfrm>
                      <a:off x="0" y="0"/>
                      <a:ext cx="5547360" cy="1266825"/>
                    </a:xfrm>
                    <a:prstGeom prst="rect">
                      <a:avLst/>
                    </a:prstGeom>
                    <a:ln/>
                  </pic:spPr>
                </pic:pic>
              </a:graphicData>
            </a:graphic>
          </wp:inline>
        </w:drawing>
      </w:r>
    </w:p>
    <w:p w14:paraId="7196A6DB"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3B8C010A" w14:textId="77777777" w:rsidR="002360C3" w:rsidRDefault="002360C3">
      <w:pPr>
        <w:spacing w:line="276" w:lineRule="auto"/>
        <w:jc w:val="both"/>
        <w:rPr>
          <w:rFonts w:ascii="Times New Roman" w:eastAsia="Times New Roman" w:hAnsi="Times New Roman" w:cs="Times New Roman"/>
        </w:rPr>
      </w:pPr>
    </w:p>
    <w:p w14:paraId="0510C29D" w14:textId="77777777" w:rsidR="002360C3" w:rsidRDefault="00000000">
      <w:pPr>
        <w:numPr>
          <w:ilvl w:val="0"/>
          <w:numId w:val="6"/>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Tercera variación</w:t>
      </w:r>
      <w:r>
        <w:rPr>
          <w:rFonts w:ascii="Times New Roman" w:eastAsia="Times New Roman" w:hAnsi="Times New Roman" w:cs="Times New Roman"/>
        </w:rPr>
        <w:t>: Ubicada en el compás 21 (Figura 8). Se caracteriza por una disminución rítmica en corcheas en el tiempo 4 del primer compás y el tiempo 1 del segundo. El tiempo 2 del segundo compás se modifica melódicamente en espejo, lo que permite una conclusión melódica ascendente, reforzando la idea de progresión y elevación de la luz.</w:t>
      </w:r>
    </w:p>
    <w:p w14:paraId="6F06BCAD" w14:textId="77777777" w:rsidR="002360C3" w:rsidRDefault="002360C3">
      <w:pPr>
        <w:spacing w:line="276" w:lineRule="auto"/>
        <w:jc w:val="both"/>
        <w:rPr>
          <w:rFonts w:ascii="Times New Roman" w:eastAsia="Times New Roman" w:hAnsi="Times New Roman" w:cs="Times New Roman"/>
        </w:rPr>
      </w:pPr>
    </w:p>
    <w:p w14:paraId="7081292A"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8</w:t>
      </w:r>
    </w:p>
    <w:p w14:paraId="261514E3"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Mañana</w:t>
      </w:r>
      <w:r>
        <w:rPr>
          <w:rFonts w:ascii="Times New Roman" w:eastAsia="Times New Roman" w:hAnsi="Times New Roman" w:cs="Times New Roman"/>
          <w:i/>
          <w:iCs/>
          <w:sz w:val="22"/>
          <w:szCs w:val="22"/>
        </w:rPr>
        <w:t>, tercera variación</w:t>
      </w:r>
    </w:p>
    <w:p w14:paraId="11CF2036" w14:textId="77777777" w:rsidR="002360C3"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3A413F77" wp14:editId="742C7EBC">
            <wp:extent cx="5609273" cy="1066800"/>
            <wp:effectExtent l="0" t="0" r="0" b="0"/>
            <wp:docPr id="7"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1"/>
                    <a:srcRect/>
                    <a:stretch>
                      <a:fillRect/>
                    </a:stretch>
                  </pic:blipFill>
                  <pic:spPr>
                    <a:xfrm>
                      <a:off x="0" y="0"/>
                      <a:ext cx="5609273" cy="1066800"/>
                    </a:xfrm>
                    <a:prstGeom prst="rect">
                      <a:avLst/>
                    </a:prstGeom>
                    <a:ln/>
                  </pic:spPr>
                </pic:pic>
              </a:graphicData>
            </a:graphic>
          </wp:inline>
        </w:drawing>
      </w:r>
    </w:p>
    <w:p w14:paraId="52135FA1"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4C487D2D" w14:textId="77777777" w:rsidR="002360C3" w:rsidRDefault="002360C3">
      <w:pPr>
        <w:spacing w:line="276" w:lineRule="auto"/>
        <w:jc w:val="both"/>
        <w:rPr>
          <w:rFonts w:ascii="Times New Roman" w:eastAsia="Times New Roman" w:hAnsi="Times New Roman" w:cs="Times New Roman"/>
        </w:rPr>
      </w:pPr>
    </w:p>
    <w:p w14:paraId="13F71173" w14:textId="77777777" w:rsidR="002360C3" w:rsidRDefault="00000000">
      <w:pPr>
        <w:numPr>
          <w:ilvl w:val="0"/>
          <w:numId w:val="6"/>
        </w:num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rPr>
        <w:t>Cuarta variación</w:t>
      </w:r>
      <w:r>
        <w:rPr>
          <w:rFonts w:ascii="Times New Roman" w:eastAsia="Times New Roman" w:hAnsi="Times New Roman" w:cs="Times New Roman"/>
        </w:rPr>
        <w:t xml:space="preserve">: Presentada en el compás 33, interpretada por el piano en el modo </w:t>
      </w:r>
      <w:r>
        <w:rPr>
          <w:rFonts w:ascii="Times New Roman" w:eastAsia="Times New Roman" w:hAnsi="Times New Roman" w:cs="Times New Roman"/>
          <w:i/>
          <w:iCs/>
        </w:rPr>
        <w:t>sol</w:t>
      </w:r>
      <w:r>
        <w:rPr>
          <w:rFonts w:ascii="Times New Roman" w:eastAsia="Times New Roman" w:hAnsi="Times New Roman" w:cs="Times New Roman"/>
        </w:rPr>
        <w:t xml:space="preserve"> mixolidio (Figura 9). Se aplica una disminución rítmica completa a todo el motivo melódico, exponiéndolo con la mitad de su valor rítmico original, pero conservando el orden y las notas. En el compás siguiente (34), esta variación sufre una aumentación rítmico</w:t>
      </w:r>
      <w:r>
        <w:rPr>
          <w:rFonts w:ascii="Times New Roman" w:eastAsia="Times New Roman" w:hAnsi="Times New Roman" w:cs="Times New Roman"/>
          <w:i/>
          <w:iCs/>
          <w:sz w:val="20"/>
          <w:szCs w:val="20"/>
        </w:rPr>
        <w:t>–</w:t>
      </w:r>
      <w:r>
        <w:rPr>
          <w:rFonts w:ascii="Times New Roman" w:eastAsia="Times New Roman" w:hAnsi="Times New Roman" w:cs="Times New Roman"/>
        </w:rPr>
        <w:t>melódica en los tiempos 2 y 3. El desarrollo de esta variación continúa en el compás 37, donde se presenta en espejo y transpuesto una tercera arriba respecto al motivo del compás 33, generando una sensación de expansión y desarrollo progresivo.</w:t>
      </w:r>
    </w:p>
    <w:p w14:paraId="0865240D" w14:textId="77777777" w:rsidR="002360C3" w:rsidRDefault="002360C3">
      <w:pPr>
        <w:spacing w:line="276" w:lineRule="auto"/>
        <w:jc w:val="both"/>
        <w:rPr>
          <w:rFonts w:ascii="Times New Roman" w:eastAsia="Times New Roman" w:hAnsi="Times New Roman" w:cs="Times New Roman"/>
        </w:rPr>
      </w:pPr>
    </w:p>
    <w:p w14:paraId="2B24ADD6"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9</w:t>
      </w:r>
    </w:p>
    <w:p w14:paraId="392DBD8A" w14:textId="77777777" w:rsidR="002360C3" w:rsidRDefault="00000000">
      <w:pPr>
        <w:spacing w:line="276" w:lineRule="auto"/>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Mañana</w:t>
      </w:r>
      <w:r>
        <w:rPr>
          <w:rFonts w:ascii="Times New Roman" w:eastAsia="Times New Roman" w:hAnsi="Times New Roman" w:cs="Times New Roman"/>
          <w:i/>
          <w:iCs/>
          <w:sz w:val="22"/>
          <w:szCs w:val="22"/>
        </w:rPr>
        <w:t>, cuarta variación</w:t>
      </w:r>
    </w:p>
    <w:p w14:paraId="2ACD25F6"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lastRenderedPageBreak/>
        <w:drawing>
          <wp:inline distT="114300" distB="114300" distL="114300" distR="114300" wp14:anchorId="6A06EF93" wp14:editId="2721CF38">
            <wp:extent cx="4906328" cy="2457329"/>
            <wp:effectExtent l="0" t="0" r="0" b="0"/>
            <wp:docPr id="24"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22"/>
                    <a:srcRect/>
                    <a:stretch>
                      <a:fillRect/>
                    </a:stretch>
                  </pic:blipFill>
                  <pic:spPr>
                    <a:xfrm>
                      <a:off x="0" y="0"/>
                      <a:ext cx="4906328" cy="2457329"/>
                    </a:xfrm>
                    <a:prstGeom prst="rect">
                      <a:avLst/>
                    </a:prstGeom>
                    <a:ln/>
                  </pic:spPr>
                </pic:pic>
              </a:graphicData>
            </a:graphic>
          </wp:inline>
        </w:drawing>
      </w:r>
    </w:p>
    <w:p w14:paraId="1B360524"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02700774" w14:textId="77777777" w:rsidR="002360C3" w:rsidRDefault="002360C3">
      <w:pPr>
        <w:spacing w:line="276" w:lineRule="auto"/>
        <w:jc w:val="both"/>
        <w:rPr>
          <w:rFonts w:ascii="Times New Roman" w:eastAsia="Times New Roman" w:hAnsi="Times New Roman" w:cs="Times New Roman"/>
        </w:rPr>
      </w:pPr>
    </w:p>
    <w:p w14:paraId="1EDAAAA9"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En el compás 49, el violín retoma el motivo principal, seguido por el piano que interpreta la cuarta variación. El violonchelo continúa con la primera variación, y la pieza culmina con la segunda variación interpretada por el violín en su registro agudo. Este clímax sonoro se ve apoyado por un incremento en la actividad del acompañamiento del piano en un registro medio</w:t>
      </w:r>
      <w:r>
        <w:rPr>
          <w:rFonts w:ascii="Times New Roman" w:eastAsia="Times New Roman" w:hAnsi="Times New Roman" w:cs="Times New Roman"/>
          <w:i/>
          <w:iCs/>
          <w:sz w:val="20"/>
          <w:szCs w:val="20"/>
        </w:rPr>
        <w:t>–</w:t>
      </w:r>
      <w:r>
        <w:rPr>
          <w:rFonts w:ascii="Times New Roman" w:eastAsia="Times New Roman" w:hAnsi="Times New Roman" w:cs="Times New Roman"/>
        </w:rPr>
        <w:t>agudo, provocando intencionalmente un sonido más brillante a través del uso estratégico de los registros instrumentales, enfatizando la plenitud lumínica de la mañana.</w:t>
      </w:r>
    </w:p>
    <w:p w14:paraId="45D1CDBE"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Los recursos expresivos, incluyendo </w:t>
      </w:r>
      <w:r>
        <w:rPr>
          <w:rFonts w:ascii="Times New Roman" w:eastAsia="Times New Roman" w:hAnsi="Times New Roman" w:cs="Times New Roman"/>
          <w:i/>
          <w:iCs/>
        </w:rPr>
        <w:t>crescendo</w:t>
      </w:r>
      <w:r>
        <w:rPr>
          <w:rFonts w:ascii="Times New Roman" w:eastAsia="Times New Roman" w:hAnsi="Times New Roman" w:cs="Times New Roman"/>
        </w:rPr>
        <w:t>, </w:t>
      </w:r>
      <w:r>
        <w:rPr>
          <w:rFonts w:ascii="Times New Roman" w:eastAsia="Times New Roman" w:hAnsi="Times New Roman" w:cs="Times New Roman"/>
          <w:i/>
          <w:iCs/>
        </w:rPr>
        <w:t>decrescendo</w:t>
      </w:r>
      <w:r>
        <w:rPr>
          <w:rFonts w:ascii="Times New Roman" w:eastAsia="Times New Roman" w:hAnsi="Times New Roman" w:cs="Times New Roman"/>
        </w:rPr>
        <w:t>, </w:t>
      </w:r>
      <w:r>
        <w:rPr>
          <w:rFonts w:ascii="Times New Roman" w:eastAsia="Times New Roman" w:hAnsi="Times New Roman" w:cs="Times New Roman"/>
          <w:i/>
          <w:iCs/>
        </w:rPr>
        <w:t>staccato</w:t>
      </w:r>
      <w:r>
        <w:rPr>
          <w:rFonts w:ascii="Times New Roman" w:eastAsia="Times New Roman" w:hAnsi="Times New Roman" w:cs="Times New Roman"/>
        </w:rPr>
        <w:t>, </w:t>
      </w:r>
      <w:r>
        <w:rPr>
          <w:rFonts w:ascii="Times New Roman" w:eastAsia="Times New Roman" w:hAnsi="Times New Roman" w:cs="Times New Roman"/>
          <w:i/>
          <w:iCs/>
        </w:rPr>
        <w:t>tenuto</w:t>
      </w:r>
      <w:r>
        <w:rPr>
          <w:rFonts w:ascii="Times New Roman" w:eastAsia="Times New Roman" w:hAnsi="Times New Roman" w:cs="Times New Roman"/>
        </w:rPr>
        <w:t>, acentos y ligaduras de expresión, junto con dinámicas que varían de piano </w:t>
      </w:r>
      <w:r>
        <w:rPr>
          <w:rFonts w:ascii="Times New Roman" w:eastAsia="Times New Roman" w:hAnsi="Times New Roman" w:cs="Times New Roman"/>
          <w:b/>
          <w:bCs/>
        </w:rPr>
        <w:t>(p)</w:t>
      </w:r>
      <w:r>
        <w:rPr>
          <w:rFonts w:ascii="Times New Roman" w:eastAsia="Times New Roman" w:hAnsi="Times New Roman" w:cs="Times New Roman"/>
        </w:rPr>
        <w:t xml:space="preserve"> a mezzoforte </w:t>
      </w:r>
      <w:r>
        <w:rPr>
          <w:rFonts w:ascii="Times New Roman" w:eastAsia="Times New Roman" w:hAnsi="Times New Roman" w:cs="Times New Roman"/>
          <w:b/>
          <w:bCs/>
        </w:rPr>
        <w:t>(mf)</w:t>
      </w:r>
      <w:r>
        <w:rPr>
          <w:rFonts w:ascii="Times New Roman" w:eastAsia="Times New Roman" w:hAnsi="Times New Roman" w:cs="Times New Roman"/>
        </w:rPr>
        <w:t>, son cruciales para dar forma al discurso melódico. La ornamentación, con trinos en el violín y violonchelo, y mordentes en el piano, añade detalles que enriquecen la textura sonora.</w:t>
      </w:r>
    </w:p>
    <w:p w14:paraId="1CCED348"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La sección A se basa armónicamente en el modo </w:t>
      </w:r>
      <w:r>
        <w:rPr>
          <w:rFonts w:ascii="Times New Roman" w:eastAsia="Times New Roman" w:hAnsi="Times New Roman" w:cs="Times New Roman"/>
          <w:i/>
          <w:iCs/>
        </w:rPr>
        <w:t>do</w:t>
      </w:r>
      <w:r>
        <w:rPr>
          <w:rFonts w:ascii="Times New Roman" w:eastAsia="Times New Roman" w:hAnsi="Times New Roman" w:cs="Times New Roman"/>
        </w:rPr>
        <w:t xml:space="preserve"> dórico, utilizando constantemente sus acordes primarios y secundarios, aunque sin una progresión armónica específica que dicte la estructura. En ciertos pasajes, como los compases 25 y 26, el piano acompaña con estructuras triádicas superpuestas sobre un bajo con ritmo y melodía continuos. Estas estructuras muestran una riqueza armónica que se aparta de la tonalidad funcional tradicional. La sección B se desarrolla armónicamente en el modo </w:t>
      </w:r>
      <w:r>
        <w:rPr>
          <w:rFonts w:ascii="Times New Roman" w:eastAsia="Times New Roman" w:hAnsi="Times New Roman" w:cs="Times New Roman"/>
          <w:i/>
          <w:iCs/>
        </w:rPr>
        <w:t>sol</w:t>
      </w:r>
      <w:r>
        <w:rPr>
          <w:rFonts w:ascii="Times New Roman" w:eastAsia="Times New Roman" w:hAnsi="Times New Roman" w:cs="Times New Roman"/>
        </w:rPr>
        <w:t xml:space="preserve"> mixolidio, utilizando acordes como </w:t>
      </w:r>
      <w:r>
        <w:rPr>
          <w:rFonts w:ascii="Times New Roman" w:eastAsia="Times New Roman" w:hAnsi="Times New Roman" w:cs="Times New Roman"/>
          <w:i/>
          <w:iCs/>
        </w:rPr>
        <w:t>sol</w:t>
      </w:r>
      <w:r>
        <w:rPr>
          <w:rFonts w:ascii="Times New Roman" w:eastAsia="Times New Roman" w:hAnsi="Times New Roman" w:cs="Times New Roman"/>
        </w:rPr>
        <w:t xml:space="preserve"> mayor, </w:t>
      </w:r>
      <w:r>
        <w:rPr>
          <w:rFonts w:ascii="Times New Roman" w:eastAsia="Times New Roman" w:hAnsi="Times New Roman" w:cs="Times New Roman"/>
          <w:i/>
          <w:iCs/>
        </w:rPr>
        <w:t xml:space="preserve">re </w:t>
      </w:r>
      <w:r>
        <w:rPr>
          <w:rFonts w:ascii="Times New Roman" w:eastAsia="Times New Roman" w:hAnsi="Times New Roman" w:cs="Times New Roman"/>
        </w:rPr>
        <w:t xml:space="preserve">menor seis, </w:t>
      </w:r>
      <w:r>
        <w:rPr>
          <w:rFonts w:ascii="Times New Roman" w:eastAsia="Times New Roman" w:hAnsi="Times New Roman" w:cs="Times New Roman"/>
          <w:i/>
          <w:iCs/>
        </w:rPr>
        <w:t>la</w:t>
      </w:r>
      <w:r>
        <w:rPr>
          <w:rFonts w:ascii="Times New Roman" w:eastAsia="Times New Roman" w:hAnsi="Times New Roman" w:cs="Times New Roman"/>
        </w:rPr>
        <w:t xml:space="preserve"> menor y </w:t>
      </w:r>
      <w:r>
        <w:rPr>
          <w:rFonts w:ascii="Times New Roman" w:eastAsia="Times New Roman" w:hAnsi="Times New Roman" w:cs="Times New Roman"/>
          <w:i/>
          <w:iCs/>
        </w:rPr>
        <w:t>fa</w:t>
      </w:r>
      <w:r>
        <w:rPr>
          <w:rFonts w:ascii="Times New Roman" w:eastAsia="Times New Roman" w:hAnsi="Times New Roman" w:cs="Times New Roman"/>
        </w:rPr>
        <w:t xml:space="preserve"> mayor con séptima mayor. Esta sección mantiene la cualidad de brillo, con una sonoridad más abierta y consonante, reflejando el cenit de la luminosidad matutina.</w:t>
      </w:r>
    </w:p>
    <w:p w14:paraId="458C4227" w14:textId="77777777" w:rsidR="002360C3" w:rsidRDefault="002360C3">
      <w:pPr>
        <w:spacing w:line="276" w:lineRule="auto"/>
        <w:jc w:val="both"/>
        <w:rPr>
          <w:rFonts w:ascii="Times New Roman" w:eastAsia="Times New Roman" w:hAnsi="Times New Roman" w:cs="Times New Roman"/>
        </w:rPr>
      </w:pPr>
    </w:p>
    <w:p w14:paraId="30D2B992" w14:textId="77777777" w:rsidR="002360C3" w:rsidRDefault="00000000">
      <w:pPr>
        <w:spacing w:line="276"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Medio Día</w:t>
      </w:r>
    </w:p>
    <w:p w14:paraId="1F25E2FE"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“Medio Día” es la tercera pieza de la obra y representa la cúspide de la brillantez lumínica, el momento de mayor claridad del día. Para lograr esta sonoridad, se recurre a los modos intrínsecamente más luminosos del sistema modal diatónico: </w:t>
      </w:r>
      <w:r>
        <w:rPr>
          <w:rFonts w:ascii="Times New Roman" w:eastAsia="Times New Roman" w:hAnsi="Times New Roman" w:cs="Times New Roman"/>
          <w:i/>
          <w:iCs/>
        </w:rPr>
        <w:t>si</w:t>
      </w:r>
      <w:r>
        <w:rPr>
          <w:rFonts w:ascii="Times New Roman" w:eastAsia="Times New Roman" w:hAnsi="Times New Roman" w:cs="Times New Roman"/>
        </w:rPr>
        <w:t xml:space="preserve"> bemol jónico, </w:t>
      </w:r>
      <w:r>
        <w:rPr>
          <w:rFonts w:ascii="Times New Roman" w:eastAsia="Times New Roman" w:hAnsi="Times New Roman" w:cs="Times New Roman"/>
          <w:i/>
          <w:iCs/>
        </w:rPr>
        <w:t>si</w:t>
      </w:r>
      <w:r>
        <w:rPr>
          <w:rFonts w:ascii="Times New Roman" w:eastAsia="Times New Roman" w:hAnsi="Times New Roman" w:cs="Times New Roman"/>
        </w:rPr>
        <w:t xml:space="preserve"> bemol lidio, </w:t>
      </w:r>
      <w:r>
        <w:rPr>
          <w:rFonts w:ascii="Times New Roman" w:eastAsia="Times New Roman" w:hAnsi="Times New Roman" w:cs="Times New Roman"/>
          <w:i/>
          <w:iCs/>
        </w:rPr>
        <w:t>re</w:t>
      </w:r>
      <w:r>
        <w:rPr>
          <w:rFonts w:ascii="Times New Roman" w:eastAsia="Times New Roman" w:hAnsi="Times New Roman" w:cs="Times New Roman"/>
        </w:rPr>
        <w:t xml:space="preserve"> lidio y </w:t>
      </w:r>
      <w:r>
        <w:rPr>
          <w:rFonts w:ascii="Times New Roman" w:eastAsia="Times New Roman" w:hAnsi="Times New Roman" w:cs="Times New Roman"/>
          <w:i/>
          <w:iCs/>
        </w:rPr>
        <w:t>si</w:t>
      </w:r>
      <w:r>
        <w:rPr>
          <w:rFonts w:ascii="Times New Roman" w:eastAsia="Times New Roman" w:hAnsi="Times New Roman" w:cs="Times New Roman"/>
        </w:rPr>
        <w:t xml:space="preserve"> jónico. Estos modos se sitúan en el extremo brillante de la gradación propuesta por Persichetti y Miller. Aunque ambos contienen relaciones de segunda menor y de tritono entre algunos de sus grados, no presentan una segunda menor ni una quinta disminuida con respecto a la tónica; en el modo lidio, el tritono aparece como cuarta aumentada. En el contexto de la obra, esta configuración interválica, junto con su tratamiento melódico, registral y tímbrico, contribuye a una cualidad sonora interpretada como abierta y resplandeciente. La pieza se organiza en una forma binaria (A B), con la sección A abarcando 32 compases y la sección B, 36 compases.</w:t>
      </w:r>
    </w:p>
    <w:p w14:paraId="0B81F2A8"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La introducción de ”Medio Día” establece un cambio de métrica a tres cuartos ( ¾) y comienza con un solo de piano que, durante los primeros ocho compases, explora el modo </w:t>
      </w:r>
      <w:r>
        <w:rPr>
          <w:rFonts w:ascii="Times New Roman" w:eastAsia="Times New Roman" w:hAnsi="Times New Roman" w:cs="Times New Roman"/>
          <w:i/>
          <w:iCs/>
        </w:rPr>
        <w:t>si</w:t>
      </w:r>
      <w:r>
        <w:rPr>
          <w:rFonts w:ascii="Times New Roman" w:eastAsia="Times New Roman" w:hAnsi="Times New Roman" w:cs="Times New Roman"/>
        </w:rPr>
        <w:t xml:space="preserve"> bemol jónico. Esta introducción en el modo jónico establece de inmediato la sensación de claridad. En los siguientes ocho compases, la pieza transita al modo </w:t>
      </w:r>
      <w:r>
        <w:rPr>
          <w:rFonts w:ascii="Times New Roman" w:eastAsia="Times New Roman" w:hAnsi="Times New Roman" w:cs="Times New Roman"/>
          <w:i/>
          <w:iCs/>
        </w:rPr>
        <w:t>si</w:t>
      </w:r>
      <w:r>
        <w:rPr>
          <w:rFonts w:ascii="Times New Roman" w:eastAsia="Times New Roman" w:hAnsi="Times New Roman" w:cs="Times New Roman"/>
        </w:rPr>
        <w:t xml:space="preserve"> bemol lidio. Durante esta fase, el violonchelo y el violín se unen gradualmente, aumentando la densidad y el “peso” sonoro, lo que prepara la transición hacia la exposición del motivo principal. La pieza mantiene una textura predominantemente polifónica, donde las voces se entrelazan para construir un tejido armónico y melódico complejo que evoca la riqueza y la plenitud del mediodía.</w:t>
      </w:r>
    </w:p>
    <w:p w14:paraId="1346DC58"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El motivo melódico principal se introduce en el compás 17, en una métrica de cuatro cuartos (4/4), y es interpretado por el violín en su registro agudo (Figura 10). La elección de este registro, combinado con el modo </w:t>
      </w:r>
      <w:r>
        <w:rPr>
          <w:rFonts w:ascii="Times New Roman" w:eastAsia="Times New Roman" w:hAnsi="Times New Roman" w:cs="Times New Roman"/>
          <w:i/>
          <w:iCs/>
        </w:rPr>
        <w:t>re</w:t>
      </w:r>
      <w:r>
        <w:rPr>
          <w:rFonts w:ascii="Times New Roman" w:eastAsia="Times New Roman" w:hAnsi="Times New Roman" w:cs="Times New Roman"/>
        </w:rPr>
        <w:t xml:space="preserve"> lidio, es intencional para generar el punto de mayor brillantez de no solo esta pieza, sino de toda la obra. El incremento en la actividad rítmica que acompaña a este motivo apoya la sonoridad luminosa del modo y del registro, creando una sensación de energía vibrante.</w:t>
      </w:r>
    </w:p>
    <w:p w14:paraId="207FD01F" w14:textId="77777777" w:rsidR="002360C3" w:rsidRDefault="002360C3">
      <w:pPr>
        <w:spacing w:line="276" w:lineRule="auto"/>
        <w:ind w:firstLine="720"/>
        <w:jc w:val="both"/>
        <w:rPr>
          <w:rFonts w:ascii="Times New Roman" w:eastAsia="Times New Roman" w:hAnsi="Times New Roman" w:cs="Times New Roman"/>
        </w:rPr>
      </w:pPr>
    </w:p>
    <w:p w14:paraId="625FF8EC"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10</w:t>
      </w:r>
    </w:p>
    <w:p w14:paraId="16DD5067" w14:textId="77777777" w:rsidR="002360C3"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Medio Día</w:t>
      </w:r>
    </w:p>
    <w:p w14:paraId="43622AA7"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lastRenderedPageBreak/>
        <w:drawing>
          <wp:inline distT="114300" distB="114300" distL="114300" distR="114300" wp14:anchorId="571751A3" wp14:editId="34A3C031">
            <wp:extent cx="5001578" cy="1333188"/>
            <wp:effectExtent l="0" t="0" r="0" b="0"/>
            <wp:docPr id="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3"/>
                    <a:srcRect/>
                    <a:stretch>
                      <a:fillRect/>
                    </a:stretch>
                  </pic:blipFill>
                  <pic:spPr>
                    <a:xfrm>
                      <a:off x="0" y="0"/>
                      <a:ext cx="5001578" cy="1333188"/>
                    </a:xfrm>
                    <a:prstGeom prst="rect">
                      <a:avLst/>
                    </a:prstGeom>
                    <a:ln/>
                  </pic:spPr>
                </pic:pic>
              </a:graphicData>
            </a:graphic>
          </wp:inline>
        </w:drawing>
      </w:r>
    </w:p>
    <w:p w14:paraId="280B1B17"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4D1B13B4" w14:textId="77777777" w:rsidR="002360C3" w:rsidRDefault="002360C3">
      <w:pPr>
        <w:spacing w:line="276" w:lineRule="auto"/>
        <w:jc w:val="both"/>
        <w:rPr>
          <w:rFonts w:ascii="Times New Roman" w:eastAsia="Times New Roman" w:hAnsi="Times New Roman" w:cs="Times New Roman"/>
        </w:rPr>
      </w:pPr>
    </w:p>
    <w:p w14:paraId="22CFABC5"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El motivo principal se desarrolla a través de dos variaciones:</w:t>
      </w:r>
    </w:p>
    <w:p w14:paraId="13FD7411" w14:textId="77777777" w:rsidR="002360C3" w:rsidRDefault="002360C3">
      <w:pPr>
        <w:spacing w:line="276" w:lineRule="auto"/>
        <w:jc w:val="both"/>
        <w:rPr>
          <w:rFonts w:ascii="Times New Roman" w:eastAsia="Times New Roman" w:hAnsi="Times New Roman" w:cs="Times New Roman"/>
        </w:rPr>
      </w:pPr>
    </w:p>
    <w:p w14:paraId="7D5A7F4C" w14:textId="77777777" w:rsidR="002360C3" w:rsidRDefault="00000000">
      <w:pPr>
        <w:numPr>
          <w:ilvl w:val="0"/>
          <w:numId w:val="7"/>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Primera variación</w:t>
      </w:r>
      <w:r>
        <w:rPr>
          <w:rFonts w:ascii="Times New Roman" w:eastAsia="Times New Roman" w:hAnsi="Times New Roman" w:cs="Times New Roman"/>
        </w:rPr>
        <w:t>: Ubicada en el compás 21 (Figura 11). Se caracteriza por una disminución rítmico</w:t>
      </w:r>
      <w:r>
        <w:rPr>
          <w:rFonts w:ascii="Times New Roman" w:eastAsia="Times New Roman" w:hAnsi="Times New Roman" w:cs="Times New Roman"/>
          <w:i/>
          <w:iCs/>
          <w:sz w:val="20"/>
          <w:szCs w:val="20"/>
        </w:rPr>
        <w:t>–</w:t>
      </w:r>
      <w:r>
        <w:rPr>
          <w:rFonts w:ascii="Times New Roman" w:eastAsia="Times New Roman" w:hAnsi="Times New Roman" w:cs="Times New Roman"/>
        </w:rPr>
        <w:t>melódica:</w:t>
      </w:r>
      <w:r>
        <w:rPr>
          <w:rFonts w:ascii="Times New Roman" w:eastAsia="Times New Roman" w:hAnsi="Times New Roman" w:cs="Times New Roman"/>
          <w:b/>
          <w:bCs/>
        </w:rPr>
        <w:t xml:space="preserve"> </w:t>
      </w:r>
      <w:r>
        <w:rPr>
          <w:rFonts w:ascii="Times New Roman" w:eastAsia="Times New Roman" w:hAnsi="Times New Roman" w:cs="Times New Roman"/>
        </w:rPr>
        <w:t>la negra con puntillo del primer compás del motivo original es suprimida, y una corchea adicional se añade en el segundo pulso. Esta variación se presenta fragmentada en frases de dos compases: el piano interpreta los dos primeros compases, y el violín responde en los siguientes dos. Esta técnica de pregunta y respuesta crea un diálogo entre los instrumentos. La variación se repite en el compás 29, esta vez con el violonchelo y el piano doblando en octavas para resaltar la melodía, seguida nuevamente por la respuesta del violín, intensificando la sensación de luminosidad.</w:t>
      </w:r>
    </w:p>
    <w:p w14:paraId="13D27F9F" w14:textId="77777777" w:rsidR="002360C3" w:rsidRDefault="002360C3">
      <w:pPr>
        <w:spacing w:line="276" w:lineRule="auto"/>
        <w:jc w:val="both"/>
        <w:rPr>
          <w:rFonts w:ascii="Times New Roman" w:eastAsia="Times New Roman" w:hAnsi="Times New Roman" w:cs="Times New Roman"/>
        </w:rPr>
      </w:pPr>
    </w:p>
    <w:p w14:paraId="05BD5872" w14:textId="77777777" w:rsidR="00863F61" w:rsidRDefault="00863F61">
      <w:pPr>
        <w:spacing w:line="276" w:lineRule="auto"/>
        <w:jc w:val="both"/>
        <w:rPr>
          <w:rFonts w:ascii="Times New Roman" w:eastAsia="Times New Roman" w:hAnsi="Times New Roman" w:cs="Times New Roman"/>
          <w:b/>
          <w:bCs/>
          <w:sz w:val="22"/>
          <w:szCs w:val="22"/>
        </w:rPr>
      </w:pPr>
    </w:p>
    <w:p w14:paraId="554CD13F" w14:textId="77777777" w:rsidR="00863F61" w:rsidRDefault="00863F61">
      <w:pPr>
        <w:spacing w:line="276" w:lineRule="auto"/>
        <w:jc w:val="both"/>
        <w:rPr>
          <w:rFonts w:ascii="Times New Roman" w:eastAsia="Times New Roman" w:hAnsi="Times New Roman" w:cs="Times New Roman"/>
          <w:b/>
          <w:bCs/>
          <w:sz w:val="22"/>
          <w:szCs w:val="22"/>
        </w:rPr>
      </w:pPr>
    </w:p>
    <w:p w14:paraId="638C61B1" w14:textId="77777777" w:rsidR="00863F61" w:rsidRDefault="00863F61">
      <w:pPr>
        <w:spacing w:line="276" w:lineRule="auto"/>
        <w:jc w:val="both"/>
        <w:rPr>
          <w:rFonts w:ascii="Times New Roman" w:eastAsia="Times New Roman" w:hAnsi="Times New Roman" w:cs="Times New Roman"/>
          <w:b/>
          <w:bCs/>
          <w:sz w:val="22"/>
          <w:szCs w:val="22"/>
        </w:rPr>
      </w:pPr>
    </w:p>
    <w:p w14:paraId="002F94D1" w14:textId="77777777" w:rsidR="00863F61" w:rsidRDefault="00863F61">
      <w:pPr>
        <w:spacing w:line="276" w:lineRule="auto"/>
        <w:jc w:val="both"/>
        <w:rPr>
          <w:rFonts w:ascii="Times New Roman" w:eastAsia="Times New Roman" w:hAnsi="Times New Roman" w:cs="Times New Roman"/>
          <w:b/>
          <w:bCs/>
          <w:sz w:val="22"/>
          <w:szCs w:val="22"/>
        </w:rPr>
      </w:pPr>
    </w:p>
    <w:p w14:paraId="365470A0" w14:textId="77777777" w:rsidR="00863F61" w:rsidRDefault="00863F61">
      <w:pPr>
        <w:spacing w:line="276" w:lineRule="auto"/>
        <w:jc w:val="both"/>
        <w:rPr>
          <w:rFonts w:ascii="Times New Roman" w:eastAsia="Times New Roman" w:hAnsi="Times New Roman" w:cs="Times New Roman"/>
          <w:b/>
          <w:bCs/>
          <w:sz w:val="22"/>
          <w:szCs w:val="22"/>
        </w:rPr>
      </w:pPr>
    </w:p>
    <w:p w14:paraId="7B2E8B70" w14:textId="77777777" w:rsidR="00863F61" w:rsidRDefault="00863F61">
      <w:pPr>
        <w:spacing w:line="276" w:lineRule="auto"/>
        <w:jc w:val="both"/>
        <w:rPr>
          <w:rFonts w:ascii="Times New Roman" w:eastAsia="Times New Roman" w:hAnsi="Times New Roman" w:cs="Times New Roman"/>
          <w:b/>
          <w:bCs/>
          <w:sz w:val="22"/>
          <w:szCs w:val="22"/>
        </w:rPr>
      </w:pPr>
    </w:p>
    <w:p w14:paraId="288796D6" w14:textId="77777777" w:rsidR="00863F61" w:rsidRDefault="00863F61">
      <w:pPr>
        <w:spacing w:line="276" w:lineRule="auto"/>
        <w:jc w:val="both"/>
        <w:rPr>
          <w:rFonts w:ascii="Times New Roman" w:eastAsia="Times New Roman" w:hAnsi="Times New Roman" w:cs="Times New Roman"/>
          <w:b/>
          <w:bCs/>
          <w:sz w:val="22"/>
          <w:szCs w:val="22"/>
        </w:rPr>
      </w:pPr>
    </w:p>
    <w:p w14:paraId="7AA63504" w14:textId="77777777" w:rsidR="00863F61" w:rsidRDefault="00863F61">
      <w:pPr>
        <w:spacing w:line="276" w:lineRule="auto"/>
        <w:jc w:val="both"/>
        <w:rPr>
          <w:rFonts w:ascii="Times New Roman" w:eastAsia="Times New Roman" w:hAnsi="Times New Roman" w:cs="Times New Roman"/>
          <w:b/>
          <w:bCs/>
          <w:sz w:val="22"/>
          <w:szCs w:val="22"/>
        </w:rPr>
      </w:pPr>
    </w:p>
    <w:p w14:paraId="7D6AD36F" w14:textId="77777777" w:rsidR="00863F61" w:rsidRDefault="00863F61">
      <w:pPr>
        <w:spacing w:line="276" w:lineRule="auto"/>
        <w:jc w:val="both"/>
        <w:rPr>
          <w:rFonts w:ascii="Times New Roman" w:eastAsia="Times New Roman" w:hAnsi="Times New Roman" w:cs="Times New Roman"/>
          <w:b/>
          <w:bCs/>
          <w:sz w:val="22"/>
          <w:szCs w:val="22"/>
        </w:rPr>
      </w:pPr>
    </w:p>
    <w:p w14:paraId="1E5B346F" w14:textId="77777777" w:rsidR="00863F61" w:rsidRDefault="00863F61">
      <w:pPr>
        <w:spacing w:line="276" w:lineRule="auto"/>
        <w:jc w:val="both"/>
        <w:rPr>
          <w:rFonts w:ascii="Times New Roman" w:eastAsia="Times New Roman" w:hAnsi="Times New Roman" w:cs="Times New Roman"/>
          <w:b/>
          <w:bCs/>
          <w:sz w:val="22"/>
          <w:szCs w:val="22"/>
        </w:rPr>
      </w:pPr>
    </w:p>
    <w:p w14:paraId="47D88EFB" w14:textId="77777777" w:rsidR="00863F61" w:rsidRDefault="00863F61">
      <w:pPr>
        <w:spacing w:line="276" w:lineRule="auto"/>
        <w:jc w:val="both"/>
        <w:rPr>
          <w:rFonts w:ascii="Times New Roman" w:eastAsia="Times New Roman" w:hAnsi="Times New Roman" w:cs="Times New Roman"/>
          <w:b/>
          <w:bCs/>
          <w:sz w:val="22"/>
          <w:szCs w:val="22"/>
        </w:rPr>
      </w:pPr>
    </w:p>
    <w:p w14:paraId="3363ADF3" w14:textId="77777777" w:rsidR="00863F61" w:rsidRDefault="00863F61">
      <w:pPr>
        <w:spacing w:line="276" w:lineRule="auto"/>
        <w:jc w:val="both"/>
        <w:rPr>
          <w:rFonts w:ascii="Times New Roman" w:eastAsia="Times New Roman" w:hAnsi="Times New Roman" w:cs="Times New Roman"/>
          <w:b/>
          <w:bCs/>
          <w:sz w:val="22"/>
          <w:szCs w:val="22"/>
        </w:rPr>
      </w:pPr>
    </w:p>
    <w:p w14:paraId="4FF3AF18" w14:textId="77777777" w:rsidR="00863F61" w:rsidRDefault="00863F61">
      <w:pPr>
        <w:spacing w:line="276" w:lineRule="auto"/>
        <w:jc w:val="both"/>
        <w:rPr>
          <w:rFonts w:ascii="Times New Roman" w:eastAsia="Times New Roman" w:hAnsi="Times New Roman" w:cs="Times New Roman"/>
          <w:b/>
          <w:bCs/>
          <w:sz w:val="22"/>
          <w:szCs w:val="22"/>
        </w:rPr>
      </w:pPr>
    </w:p>
    <w:p w14:paraId="22359D9D" w14:textId="77777777" w:rsidR="00863F61" w:rsidRDefault="00863F61">
      <w:pPr>
        <w:spacing w:line="276" w:lineRule="auto"/>
        <w:jc w:val="both"/>
        <w:rPr>
          <w:rFonts w:ascii="Times New Roman" w:eastAsia="Times New Roman" w:hAnsi="Times New Roman" w:cs="Times New Roman"/>
          <w:b/>
          <w:bCs/>
          <w:sz w:val="22"/>
          <w:szCs w:val="22"/>
        </w:rPr>
      </w:pPr>
    </w:p>
    <w:p w14:paraId="6D091D33" w14:textId="77777777" w:rsidR="00863F61" w:rsidRDefault="00863F61">
      <w:pPr>
        <w:spacing w:line="276" w:lineRule="auto"/>
        <w:jc w:val="both"/>
        <w:rPr>
          <w:rFonts w:ascii="Times New Roman" w:eastAsia="Times New Roman" w:hAnsi="Times New Roman" w:cs="Times New Roman"/>
          <w:b/>
          <w:bCs/>
          <w:sz w:val="22"/>
          <w:szCs w:val="22"/>
        </w:rPr>
      </w:pPr>
    </w:p>
    <w:p w14:paraId="0D76B7BA" w14:textId="7DEC4B13"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Figura 11</w:t>
      </w:r>
    </w:p>
    <w:p w14:paraId="1E73208E" w14:textId="77777777" w:rsidR="002360C3" w:rsidRDefault="00000000">
      <w:pPr>
        <w:spacing w:line="276" w:lineRule="auto"/>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Medio Día</w:t>
      </w:r>
      <w:r>
        <w:rPr>
          <w:rFonts w:ascii="Times New Roman" w:eastAsia="Times New Roman" w:hAnsi="Times New Roman" w:cs="Times New Roman"/>
          <w:i/>
          <w:iCs/>
          <w:sz w:val="22"/>
          <w:szCs w:val="22"/>
        </w:rPr>
        <w:t>, primera variación</w:t>
      </w:r>
    </w:p>
    <w:p w14:paraId="41B4B417"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0910F9D0" wp14:editId="6B4C4427">
            <wp:extent cx="5403215" cy="2641979"/>
            <wp:effectExtent l="0" t="0" r="0" b="0"/>
            <wp:docPr id="8"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4"/>
                    <a:srcRect/>
                    <a:stretch>
                      <a:fillRect/>
                    </a:stretch>
                  </pic:blipFill>
                  <pic:spPr>
                    <a:xfrm>
                      <a:off x="0" y="0"/>
                      <a:ext cx="5403215" cy="2641979"/>
                    </a:xfrm>
                    <a:prstGeom prst="rect">
                      <a:avLst/>
                    </a:prstGeom>
                    <a:ln/>
                  </pic:spPr>
                </pic:pic>
              </a:graphicData>
            </a:graphic>
          </wp:inline>
        </w:drawing>
      </w:r>
    </w:p>
    <w:p w14:paraId="4C6D9B4A" w14:textId="77777777" w:rsidR="002360C3" w:rsidRDefault="00000000">
      <w:pPr>
        <w:spacing w:line="276" w:lineRule="auto"/>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23EB43EB" w14:textId="77777777" w:rsidR="002360C3" w:rsidRDefault="002360C3">
      <w:pPr>
        <w:spacing w:line="276" w:lineRule="auto"/>
        <w:jc w:val="both"/>
        <w:rPr>
          <w:rFonts w:ascii="Times New Roman" w:eastAsia="Times New Roman" w:hAnsi="Times New Roman" w:cs="Times New Roman"/>
          <w:i/>
          <w:iCs/>
        </w:rPr>
      </w:pPr>
    </w:p>
    <w:p w14:paraId="139966A4" w14:textId="77777777" w:rsidR="002360C3" w:rsidRDefault="00000000">
      <w:pPr>
        <w:numPr>
          <w:ilvl w:val="0"/>
          <w:numId w:val="7"/>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Segunda variación</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 xml:space="preserve">Se introduce en el compás 33, interpretada por el violonchelo (Figura 12). Utiliza el mismo patrón rítmico de las variaciones previas, pero con una estructura melódica diferente, adaptada al modo </w:t>
      </w:r>
      <w:r>
        <w:rPr>
          <w:rFonts w:ascii="Times New Roman" w:eastAsia="Times New Roman" w:hAnsi="Times New Roman" w:cs="Times New Roman"/>
          <w:i/>
          <w:iCs/>
        </w:rPr>
        <w:t>si</w:t>
      </w:r>
      <w:r>
        <w:rPr>
          <w:rFonts w:ascii="Times New Roman" w:eastAsia="Times New Roman" w:hAnsi="Times New Roman" w:cs="Times New Roman"/>
        </w:rPr>
        <w:t xml:space="preserve"> jónico. Esta variación, de sólo dos compases, se desarrolla con diversas variaciones rítmicas a lo largo del resto de la pieza, manteniendo una característica melódica descendente, como se aprecia en el compás 37 por el violín y en el compás 41 por el violonchelo (Figura 12). Aunque descendente, la cualidad modal Jónica evita que esta sección se perciba como oscura, manteniendo el carácter general de brillo.</w:t>
      </w:r>
    </w:p>
    <w:p w14:paraId="7F035400" w14:textId="77777777" w:rsidR="002360C3" w:rsidRDefault="002360C3">
      <w:pPr>
        <w:spacing w:line="276" w:lineRule="auto"/>
        <w:ind w:left="720"/>
        <w:jc w:val="both"/>
        <w:rPr>
          <w:rFonts w:ascii="Times New Roman" w:eastAsia="Times New Roman" w:hAnsi="Times New Roman" w:cs="Times New Roman"/>
        </w:rPr>
      </w:pPr>
    </w:p>
    <w:p w14:paraId="3DBA8D92"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12</w:t>
      </w:r>
    </w:p>
    <w:p w14:paraId="38D5E066" w14:textId="77777777" w:rsidR="002360C3" w:rsidRDefault="00000000">
      <w:pPr>
        <w:spacing w:line="276" w:lineRule="auto"/>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Medio Día</w:t>
      </w:r>
      <w:r>
        <w:rPr>
          <w:rFonts w:ascii="Times New Roman" w:eastAsia="Times New Roman" w:hAnsi="Times New Roman" w:cs="Times New Roman"/>
          <w:i/>
          <w:iCs/>
          <w:sz w:val="22"/>
          <w:szCs w:val="22"/>
        </w:rPr>
        <w:t>, segunda variación</w:t>
      </w:r>
    </w:p>
    <w:p w14:paraId="000E720A"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67DF70B8" wp14:editId="01F439E9">
            <wp:extent cx="5612130" cy="1104900"/>
            <wp:effectExtent l="0" t="0" r="0" b="0"/>
            <wp:docPr id="3"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25"/>
                    <a:srcRect/>
                    <a:stretch>
                      <a:fillRect/>
                    </a:stretch>
                  </pic:blipFill>
                  <pic:spPr>
                    <a:xfrm>
                      <a:off x="0" y="0"/>
                      <a:ext cx="5612130" cy="1104900"/>
                    </a:xfrm>
                    <a:prstGeom prst="rect">
                      <a:avLst/>
                    </a:prstGeom>
                    <a:ln/>
                  </pic:spPr>
                </pic:pic>
              </a:graphicData>
            </a:graphic>
          </wp:inline>
        </w:drawing>
      </w:r>
    </w:p>
    <w:p w14:paraId="453999F6"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4DD45247" w14:textId="77777777" w:rsidR="002360C3" w:rsidRDefault="002360C3">
      <w:pPr>
        <w:spacing w:line="276" w:lineRule="auto"/>
        <w:jc w:val="center"/>
        <w:rPr>
          <w:rFonts w:ascii="Times New Roman" w:eastAsia="Times New Roman" w:hAnsi="Times New Roman" w:cs="Times New Roman"/>
          <w:sz w:val="18"/>
          <w:szCs w:val="18"/>
        </w:rPr>
      </w:pPr>
    </w:p>
    <w:p w14:paraId="65654216"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El rol del piano en “Medio Día” es fundamental. Mantuvo un predominante acompañamiento armónico, utilizando acordes en su registro agudo para reforzar el brillo, no solo a través del modo sino también a nivel tímbrico. Además, en algunas secciones, el piano dobló en octavas las melodías del violín y el violonchelo, realzando el sentido melódico y la luminosidad general de la pieza. Los elementos interpretativos y expresivos, como </w:t>
      </w:r>
      <w:r>
        <w:rPr>
          <w:rFonts w:ascii="Times New Roman" w:eastAsia="Times New Roman" w:hAnsi="Times New Roman" w:cs="Times New Roman"/>
          <w:i/>
          <w:iCs/>
        </w:rPr>
        <w:t>crescendo</w:t>
      </w:r>
      <w:r>
        <w:rPr>
          <w:rFonts w:ascii="Times New Roman" w:eastAsia="Times New Roman" w:hAnsi="Times New Roman" w:cs="Times New Roman"/>
        </w:rPr>
        <w:t>, </w:t>
      </w:r>
      <w:r>
        <w:rPr>
          <w:rFonts w:ascii="Times New Roman" w:eastAsia="Times New Roman" w:hAnsi="Times New Roman" w:cs="Times New Roman"/>
          <w:i/>
          <w:iCs/>
        </w:rPr>
        <w:t>decrescendo</w:t>
      </w:r>
      <w:r>
        <w:rPr>
          <w:rFonts w:ascii="Times New Roman" w:eastAsia="Times New Roman" w:hAnsi="Times New Roman" w:cs="Times New Roman"/>
        </w:rPr>
        <w:t>, </w:t>
      </w:r>
      <w:r>
        <w:rPr>
          <w:rFonts w:ascii="Times New Roman" w:eastAsia="Times New Roman" w:hAnsi="Times New Roman" w:cs="Times New Roman"/>
          <w:i/>
          <w:iCs/>
        </w:rPr>
        <w:t>staccato</w:t>
      </w:r>
      <w:r>
        <w:rPr>
          <w:rFonts w:ascii="Times New Roman" w:eastAsia="Times New Roman" w:hAnsi="Times New Roman" w:cs="Times New Roman"/>
        </w:rPr>
        <w:t>, </w:t>
      </w:r>
      <w:r>
        <w:rPr>
          <w:rFonts w:ascii="Times New Roman" w:eastAsia="Times New Roman" w:hAnsi="Times New Roman" w:cs="Times New Roman"/>
          <w:i/>
          <w:iCs/>
        </w:rPr>
        <w:t>tenuto</w:t>
      </w:r>
      <w:r>
        <w:rPr>
          <w:rFonts w:ascii="Times New Roman" w:eastAsia="Times New Roman" w:hAnsi="Times New Roman" w:cs="Times New Roman"/>
        </w:rPr>
        <w:t>, acentos y ligaduras de expresión, junto con dinámicas que van desde el piano hasta el forte, marcan el discurso melódico con gran plasticidad.</w:t>
      </w:r>
    </w:p>
    <w:p w14:paraId="78A52D17"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La sección A se inicia con una métrica de tres cuartos (¾) en los primeros 16 compases, para luego transitar a cuatro cuartos (4/4). Su desarrollo armónico se basa en los modos </w:t>
      </w:r>
      <w:r>
        <w:rPr>
          <w:rFonts w:ascii="Times New Roman" w:eastAsia="Times New Roman" w:hAnsi="Times New Roman" w:cs="Times New Roman"/>
          <w:i/>
          <w:iCs/>
        </w:rPr>
        <w:t>si</w:t>
      </w:r>
      <w:r>
        <w:rPr>
          <w:rFonts w:ascii="Times New Roman" w:eastAsia="Times New Roman" w:hAnsi="Times New Roman" w:cs="Times New Roman"/>
        </w:rPr>
        <w:t xml:space="preserve"> bemol jónico, </w:t>
      </w:r>
      <w:r>
        <w:rPr>
          <w:rFonts w:ascii="Times New Roman" w:eastAsia="Times New Roman" w:hAnsi="Times New Roman" w:cs="Times New Roman"/>
          <w:i/>
          <w:iCs/>
        </w:rPr>
        <w:t>si</w:t>
      </w:r>
      <w:r>
        <w:rPr>
          <w:rFonts w:ascii="Times New Roman" w:eastAsia="Times New Roman" w:hAnsi="Times New Roman" w:cs="Times New Roman"/>
        </w:rPr>
        <w:t xml:space="preserve"> bemol lidio y </w:t>
      </w:r>
      <w:r>
        <w:rPr>
          <w:rFonts w:ascii="Times New Roman" w:eastAsia="Times New Roman" w:hAnsi="Times New Roman" w:cs="Times New Roman"/>
          <w:i/>
          <w:iCs/>
        </w:rPr>
        <w:t>re</w:t>
      </w:r>
      <w:r>
        <w:rPr>
          <w:rFonts w:ascii="Times New Roman" w:eastAsia="Times New Roman" w:hAnsi="Times New Roman" w:cs="Times New Roman"/>
        </w:rPr>
        <w:t xml:space="preserve"> lidio. El modo </w:t>
      </w:r>
      <w:r>
        <w:rPr>
          <w:rFonts w:ascii="Times New Roman" w:eastAsia="Times New Roman" w:hAnsi="Times New Roman" w:cs="Times New Roman"/>
          <w:i/>
          <w:iCs/>
        </w:rPr>
        <w:t>si</w:t>
      </w:r>
      <w:r>
        <w:rPr>
          <w:rFonts w:ascii="Times New Roman" w:eastAsia="Times New Roman" w:hAnsi="Times New Roman" w:cs="Times New Roman"/>
        </w:rPr>
        <w:t xml:space="preserve"> bemol jónico domina los primeros 8 compases, utilizando acordes de Bb, Gm y Dm. El modo </w:t>
      </w:r>
      <w:r>
        <w:rPr>
          <w:rFonts w:ascii="Times New Roman" w:eastAsia="Times New Roman" w:hAnsi="Times New Roman" w:cs="Times New Roman"/>
          <w:i/>
          <w:iCs/>
        </w:rPr>
        <w:t>si</w:t>
      </w:r>
      <w:r>
        <w:rPr>
          <w:rFonts w:ascii="Times New Roman" w:eastAsia="Times New Roman" w:hAnsi="Times New Roman" w:cs="Times New Roman"/>
        </w:rPr>
        <w:t xml:space="preserve"> bemol lidio se introduce en el compás 9 sin una progresión armónica específica, pero contribuyendo a la cualidad de brillo. El modo </w:t>
      </w:r>
      <w:r>
        <w:rPr>
          <w:rFonts w:ascii="Times New Roman" w:eastAsia="Times New Roman" w:hAnsi="Times New Roman" w:cs="Times New Roman"/>
          <w:i/>
          <w:iCs/>
        </w:rPr>
        <w:t>re</w:t>
      </w:r>
      <w:r>
        <w:rPr>
          <w:rFonts w:ascii="Times New Roman" w:eastAsia="Times New Roman" w:hAnsi="Times New Roman" w:cs="Times New Roman"/>
        </w:rPr>
        <w:t xml:space="preserve"> lidio, en el compás 19, marca el punto de clímax, apoyado por la expresión </w:t>
      </w:r>
      <w:r>
        <w:rPr>
          <w:rFonts w:ascii="Times New Roman" w:eastAsia="Times New Roman" w:hAnsi="Times New Roman" w:cs="Times New Roman"/>
          <w:i/>
          <w:iCs/>
        </w:rPr>
        <w:t>agitato</w:t>
      </w:r>
      <w:r>
        <w:rPr>
          <w:rFonts w:ascii="Times New Roman" w:eastAsia="Times New Roman" w:hAnsi="Times New Roman" w:cs="Times New Roman"/>
        </w:rPr>
        <w:t> en el violín, desarrollándose hasta el compás 32. Este modo, por su naturaleza, no requiere una secuencia de acordes específica para definir su sonoridad.</w:t>
      </w:r>
    </w:p>
    <w:p w14:paraId="73BFC928"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La sección B se caracteriza por un desarrollo armónico en el modo </w:t>
      </w:r>
      <w:r>
        <w:rPr>
          <w:rFonts w:ascii="Times New Roman" w:eastAsia="Times New Roman" w:hAnsi="Times New Roman" w:cs="Times New Roman"/>
          <w:i/>
          <w:iCs/>
        </w:rPr>
        <w:t>si</w:t>
      </w:r>
      <w:r>
        <w:rPr>
          <w:rFonts w:ascii="Times New Roman" w:eastAsia="Times New Roman" w:hAnsi="Times New Roman" w:cs="Times New Roman"/>
        </w:rPr>
        <w:t xml:space="preserve"> jónico, donde se expone la segunda variación del motivo melódico a cargo del violonchelo. Los acordes utilizados para describir la sonoridad del modo jónico incluyen </w:t>
      </w:r>
      <w:r>
        <w:rPr>
          <w:rFonts w:ascii="Times New Roman" w:eastAsia="Times New Roman" w:hAnsi="Times New Roman" w:cs="Times New Roman"/>
          <w:i/>
          <w:iCs/>
        </w:rPr>
        <w:t>si</w:t>
      </w:r>
      <w:r>
        <w:rPr>
          <w:rFonts w:ascii="Times New Roman" w:eastAsia="Times New Roman" w:hAnsi="Times New Roman" w:cs="Times New Roman"/>
        </w:rPr>
        <w:t xml:space="preserve">, </w:t>
      </w:r>
      <w:r>
        <w:rPr>
          <w:rFonts w:ascii="Times New Roman" w:eastAsia="Times New Roman" w:hAnsi="Times New Roman" w:cs="Times New Roman"/>
          <w:i/>
          <w:iCs/>
        </w:rPr>
        <w:t>re</w:t>
      </w:r>
      <w:r>
        <w:rPr>
          <w:rFonts w:ascii="Times New Roman" w:eastAsia="Times New Roman" w:hAnsi="Times New Roman" w:cs="Times New Roman"/>
        </w:rPr>
        <w:t xml:space="preserve"> sostenido menor y </w:t>
      </w:r>
      <w:r>
        <w:rPr>
          <w:rFonts w:ascii="Times New Roman" w:eastAsia="Times New Roman" w:hAnsi="Times New Roman" w:cs="Times New Roman"/>
          <w:i/>
          <w:iCs/>
        </w:rPr>
        <w:t xml:space="preserve">si </w:t>
      </w:r>
      <w:r>
        <w:rPr>
          <w:rFonts w:ascii="Times New Roman" w:eastAsia="Times New Roman" w:hAnsi="Times New Roman" w:cs="Times New Roman"/>
        </w:rPr>
        <w:t>sus4, reafirmando la luminosidad y estabilidad de esta fase del día.</w:t>
      </w:r>
    </w:p>
    <w:p w14:paraId="1F9502D6" w14:textId="77777777" w:rsidR="002360C3" w:rsidRDefault="002360C3">
      <w:pPr>
        <w:spacing w:line="276" w:lineRule="auto"/>
        <w:ind w:firstLine="720"/>
        <w:jc w:val="both"/>
        <w:rPr>
          <w:rFonts w:ascii="Times New Roman" w:eastAsia="Times New Roman" w:hAnsi="Times New Roman" w:cs="Times New Roman"/>
          <w:i/>
          <w:iCs/>
        </w:rPr>
      </w:pPr>
    </w:p>
    <w:p w14:paraId="329A9699" w14:textId="77777777" w:rsidR="002360C3" w:rsidRDefault="00000000">
      <w:pPr>
        <w:spacing w:line="276"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Atardecer</w:t>
      </w:r>
    </w:p>
    <w:p w14:paraId="6F9030AA"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“Atardecer”, la cuarta pieza de la obra, describe el gradual alejamiento de la brillantez del mediodía y la inminente llegada de la oscuridad nocturna. Esta transición se representa mediante la progresión modal de </w:t>
      </w:r>
      <w:r>
        <w:rPr>
          <w:rFonts w:ascii="Times New Roman" w:eastAsia="Times New Roman" w:hAnsi="Times New Roman" w:cs="Times New Roman"/>
          <w:i/>
          <w:iCs/>
        </w:rPr>
        <w:t>fa</w:t>
      </w:r>
      <w:r>
        <w:rPr>
          <w:rFonts w:ascii="Times New Roman" w:eastAsia="Times New Roman" w:hAnsi="Times New Roman" w:cs="Times New Roman"/>
        </w:rPr>
        <w:t xml:space="preserve"> mixolidio, </w:t>
      </w:r>
      <w:r>
        <w:rPr>
          <w:rFonts w:ascii="Times New Roman" w:eastAsia="Times New Roman" w:hAnsi="Times New Roman" w:cs="Times New Roman"/>
          <w:i/>
          <w:iCs/>
        </w:rPr>
        <w:t>la</w:t>
      </w:r>
      <w:r>
        <w:rPr>
          <w:rFonts w:ascii="Times New Roman" w:eastAsia="Times New Roman" w:hAnsi="Times New Roman" w:cs="Times New Roman"/>
        </w:rPr>
        <w:t xml:space="preserve"> dórico y </w:t>
      </w:r>
      <w:r>
        <w:rPr>
          <w:rFonts w:ascii="Times New Roman" w:eastAsia="Times New Roman" w:hAnsi="Times New Roman" w:cs="Times New Roman"/>
          <w:i/>
          <w:iCs/>
        </w:rPr>
        <w:t xml:space="preserve">si </w:t>
      </w:r>
      <w:r>
        <w:rPr>
          <w:rFonts w:ascii="Times New Roman" w:eastAsia="Times New Roman" w:hAnsi="Times New Roman" w:cs="Times New Roman"/>
        </w:rPr>
        <w:t xml:space="preserve">bemol eólico. El </w:t>
      </w:r>
      <w:r>
        <w:rPr>
          <w:rFonts w:ascii="Times New Roman" w:eastAsia="Times New Roman" w:hAnsi="Times New Roman" w:cs="Times New Roman"/>
          <w:i/>
          <w:iCs/>
        </w:rPr>
        <w:t>fa</w:t>
      </w:r>
      <w:r>
        <w:rPr>
          <w:rFonts w:ascii="Times New Roman" w:eastAsia="Times New Roman" w:hAnsi="Times New Roman" w:cs="Times New Roman"/>
        </w:rPr>
        <w:t xml:space="preserve"> mixolidio, comienza a introducir un matiz de moderación en la luminosidad. El </w:t>
      </w:r>
      <w:r>
        <w:rPr>
          <w:rFonts w:ascii="Times New Roman" w:eastAsia="Times New Roman" w:hAnsi="Times New Roman" w:cs="Times New Roman"/>
          <w:i/>
          <w:iCs/>
        </w:rPr>
        <w:t>la</w:t>
      </w:r>
      <w:r>
        <w:rPr>
          <w:rFonts w:ascii="Times New Roman" w:eastAsia="Times New Roman" w:hAnsi="Times New Roman" w:cs="Times New Roman"/>
        </w:rPr>
        <w:t xml:space="preserve"> dórico, con su sexta mayor, pero en un contexto de descenso, acentúa un carácter más reflexivo, mientras que el </w:t>
      </w:r>
      <w:r>
        <w:rPr>
          <w:rFonts w:ascii="Times New Roman" w:eastAsia="Times New Roman" w:hAnsi="Times New Roman" w:cs="Times New Roman"/>
          <w:i/>
          <w:iCs/>
        </w:rPr>
        <w:t xml:space="preserve">si </w:t>
      </w:r>
      <w:r>
        <w:rPr>
          <w:rFonts w:ascii="Times New Roman" w:eastAsia="Times New Roman" w:hAnsi="Times New Roman" w:cs="Times New Roman"/>
        </w:rPr>
        <w:t>bemol eólico, un modo menor natural, profundiza la sensación de melancolía y prefigura la oscuridad. La pieza exhibe una combinación de métricas de cuatro cuartos (4/4) y tres cuartos (¾) en sus primeros ocho compases, manteniendo el cuatro cuartos (4/4) desde el compás 9 hasta el 54, y retomando la combinación de métricas al final. La estructura formal es binaria (A B), con la sección A compuesta por 24 compases y la sección B por 32.</w:t>
      </w:r>
    </w:p>
    <w:p w14:paraId="09A7D5BC"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La pieza inicia con una expresión cantabile, con los instrumentos entrando de manera escalonada: el violín primero, seguido por el violonchelo en el segundo compás y el piano en el tercer. Esta entrada gradual sugiere la suave transición del atardecer.</w:t>
      </w:r>
    </w:p>
    <w:p w14:paraId="06BF3709"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El motivo melódico principal de “Atardecer” se construye sobre el modo </w:t>
      </w:r>
      <w:r>
        <w:rPr>
          <w:rFonts w:ascii="Times New Roman" w:eastAsia="Times New Roman" w:hAnsi="Times New Roman" w:cs="Times New Roman"/>
          <w:i/>
          <w:iCs/>
        </w:rPr>
        <w:t>fa</w:t>
      </w:r>
      <w:r>
        <w:rPr>
          <w:rFonts w:ascii="Times New Roman" w:eastAsia="Times New Roman" w:hAnsi="Times New Roman" w:cs="Times New Roman"/>
        </w:rPr>
        <w:t xml:space="preserve"> mixolidio y es presentado por el violonchelo en los compases 3 al 5 (Figura 13). Este motivo es inmediatamente repetido por el violín en los compases 5 al 7, una octava arriba, lo que proporciona una sensación de reverberación y expansión de la idea melódica.</w:t>
      </w:r>
    </w:p>
    <w:p w14:paraId="70AF0E69" w14:textId="77777777" w:rsidR="002360C3" w:rsidRDefault="002360C3">
      <w:pPr>
        <w:spacing w:line="276" w:lineRule="auto"/>
        <w:jc w:val="both"/>
        <w:rPr>
          <w:rFonts w:ascii="Times New Roman" w:eastAsia="Times New Roman" w:hAnsi="Times New Roman" w:cs="Times New Roman"/>
        </w:rPr>
      </w:pPr>
    </w:p>
    <w:p w14:paraId="06C8D08D"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13</w:t>
      </w:r>
    </w:p>
    <w:p w14:paraId="60F5752E" w14:textId="77777777" w:rsidR="002360C3"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Atardecer</w:t>
      </w:r>
    </w:p>
    <w:p w14:paraId="439D5C3F"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115E44D0" wp14:editId="688296A3">
            <wp:extent cx="5612130" cy="977900"/>
            <wp:effectExtent l="0" t="0" r="0" b="0"/>
            <wp:docPr id="1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6"/>
                    <a:srcRect/>
                    <a:stretch>
                      <a:fillRect/>
                    </a:stretch>
                  </pic:blipFill>
                  <pic:spPr>
                    <a:xfrm>
                      <a:off x="0" y="0"/>
                      <a:ext cx="5612130" cy="977900"/>
                    </a:xfrm>
                    <a:prstGeom prst="rect">
                      <a:avLst/>
                    </a:prstGeom>
                    <a:ln/>
                  </pic:spPr>
                </pic:pic>
              </a:graphicData>
            </a:graphic>
          </wp:inline>
        </w:drawing>
      </w:r>
    </w:p>
    <w:p w14:paraId="06E8C45E"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2AC1F7B5" w14:textId="77777777" w:rsidR="002360C3" w:rsidRDefault="002360C3">
      <w:pPr>
        <w:spacing w:line="276" w:lineRule="auto"/>
        <w:jc w:val="both"/>
        <w:rPr>
          <w:rFonts w:ascii="Times New Roman" w:eastAsia="Times New Roman" w:hAnsi="Times New Roman" w:cs="Times New Roman"/>
        </w:rPr>
      </w:pPr>
    </w:p>
    <w:p w14:paraId="6E489F03"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El tratamiento temático de este motivo se elabora a través de cinco variaciones distintas:</w:t>
      </w:r>
    </w:p>
    <w:p w14:paraId="73092222" w14:textId="77777777" w:rsidR="002360C3" w:rsidRDefault="002360C3">
      <w:pPr>
        <w:spacing w:line="276" w:lineRule="auto"/>
        <w:jc w:val="both"/>
        <w:rPr>
          <w:rFonts w:ascii="Times New Roman" w:eastAsia="Times New Roman" w:hAnsi="Times New Roman" w:cs="Times New Roman"/>
        </w:rPr>
      </w:pPr>
    </w:p>
    <w:p w14:paraId="406F6FB5" w14:textId="77777777" w:rsidR="002360C3" w:rsidRDefault="00000000">
      <w:pPr>
        <w:numPr>
          <w:ilvl w:val="0"/>
          <w:numId w:val="8"/>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Primera variación</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Interpretada por el piano en el compás 9, en métrica de cuatro cuartos (4/4) (Figura 14). Se caracteriza por una disminución rítmica en el contratiempo del segundo pulso del primer compás, pasando de una corchea a dos semicorcheas. Esta disminución rítmica no sólo agiliza el movimiento, sino que también crea una nota que funciona como bordadura a la siguiente nota del motivo. En el segundo compás, el segundo pulso se modifica de manera similar, y el cuarto pulso se disminuye a dos corcheas, aportando un dinamismo sutil.</w:t>
      </w:r>
    </w:p>
    <w:p w14:paraId="0E1D4840" w14:textId="77777777" w:rsidR="002360C3" w:rsidRDefault="002360C3">
      <w:pPr>
        <w:spacing w:line="276" w:lineRule="auto"/>
        <w:ind w:left="720"/>
        <w:jc w:val="both"/>
        <w:rPr>
          <w:rFonts w:ascii="Times New Roman" w:eastAsia="Times New Roman" w:hAnsi="Times New Roman" w:cs="Times New Roman"/>
        </w:rPr>
      </w:pPr>
    </w:p>
    <w:p w14:paraId="14697C65" w14:textId="77777777" w:rsidR="002360C3" w:rsidRDefault="002360C3">
      <w:pPr>
        <w:spacing w:line="276" w:lineRule="auto"/>
        <w:jc w:val="both"/>
        <w:rPr>
          <w:rFonts w:ascii="Times New Roman" w:eastAsia="Times New Roman" w:hAnsi="Times New Roman" w:cs="Times New Roman"/>
          <w:b/>
          <w:bCs/>
          <w:sz w:val="22"/>
          <w:szCs w:val="22"/>
        </w:rPr>
      </w:pPr>
    </w:p>
    <w:p w14:paraId="2DD5EA90" w14:textId="77777777" w:rsidR="002360C3" w:rsidRDefault="002360C3">
      <w:pPr>
        <w:spacing w:line="276" w:lineRule="auto"/>
        <w:jc w:val="both"/>
        <w:rPr>
          <w:rFonts w:ascii="Times New Roman" w:eastAsia="Times New Roman" w:hAnsi="Times New Roman" w:cs="Times New Roman"/>
          <w:b/>
          <w:bCs/>
          <w:sz w:val="22"/>
          <w:szCs w:val="22"/>
        </w:rPr>
      </w:pPr>
    </w:p>
    <w:p w14:paraId="02944ED0" w14:textId="77777777" w:rsidR="002360C3" w:rsidRDefault="002360C3">
      <w:pPr>
        <w:spacing w:line="276" w:lineRule="auto"/>
        <w:jc w:val="both"/>
        <w:rPr>
          <w:rFonts w:ascii="Times New Roman" w:eastAsia="Times New Roman" w:hAnsi="Times New Roman" w:cs="Times New Roman"/>
          <w:b/>
          <w:bCs/>
          <w:sz w:val="22"/>
          <w:szCs w:val="22"/>
        </w:rPr>
      </w:pPr>
    </w:p>
    <w:p w14:paraId="0EA03365" w14:textId="77777777" w:rsidR="002360C3" w:rsidRDefault="002360C3">
      <w:pPr>
        <w:spacing w:line="276" w:lineRule="auto"/>
        <w:jc w:val="both"/>
        <w:rPr>
          <w:rFonts w:ascii="Times New Roman" w:eastAsia="Times New Roman" w:hAnsi="Times New Roman" w:cs="Times New Roman"/>
          <w:b/>
          <w:bCs/>
          <w:sz w:val="22"/>
          <w:szCs w:val="22"/>
        </w:rPr>
      </w:pPr>
    </w:p>
    <w:p w14:paraId="32E05527" w14:textId="77777777" w:rsidR="002360C3" w:rsidRDefault="002360C3">
      <w:pPr>
        <w:spacing w:line="276" w:lineRule="auto"/>
        <w:jc w:val="both"/>
        <w:rPr>
          <w:rFonts w:ascii="Times New Roman" w:eastAsia="Times New Roman" w:hAnsi="Times New Roman" w:cs="Times New Roman"/>
          <w:b/>
          <w:bCs/>
          <w:sz w:val="22"/>
          <w:szCs w:val="22"/>
        </w:rPr>
      </w:pPr>
    </w:p>
    <w:p w14:paraId="632F9122" w14:textId="77777777" w:rsidR="002360C3" w:rsidRDefault="002360C3">
      <w:pPr>
        <w:spacing w:line="276" w:lineRule="auto"/>
        <w:jc w:val="both"/>
        <w:rPr>
          <w:rFonts w:ascii="Times New Roman" w:eastAsia="Times New Roman" w:hAnsi="Times New Roman" w:cs="Times New Roman"/>
          <w:b/>
          <w:bCs/>
          <w:sz w:val="22"/>
          <w:szCs w:val="22"/>
        </w:rPr>
      </w:pPr>
    </w:p>
    <w:p w14:paraId="32DFA8A2" w14:textId="77777777" w:rsidR="002360C3" w:rsidRDefault="002360C3">
      <w:pPr>
        <w:spacing w:line="276" w:lineRule="auto"/>
        <w:jc w:val="both"/>
        <w:rPr>
          <w:rFonts w:ascii="Times New Roman" w:eastAsia="Times New Roman" w:hAnsi="Times New Roman" w:cs="Times New Roman"/>
          <w:b/>
          <w:bCs/>
          <w:sz w:val="22"/>
          <w:szCs w:val="22"/>
        </w:rPr>
      </w:pPr>
    </w:p>
    <w:p w14:paraId="49551C2D" w14:textId="77777777" w:rsidR="002360C3" w:rsidRDefault="002360C3">
      <w:pPr>
        <w:spacing w:line="276" w:lineRule="auto"/>
        <w:jc w:val="both"/>
        <w:rPr>
          <w:rFonts w:ascii="Times New Roman" w:eastAsia="Times New Roman" w:hAnsi="Times New Roman" w:cs="Times New Roman"/>
          <w:b/>
          <w:bCs/>
          <w:sz w:val="22"/>
          <w:szCs w:val="22"/>
        </w:rPr>
      </w:pPr>
    </w:p>
    <w:p w14:paraId="6126D591" w14:textId="77777777" w:rsidR="002360C3" w:rsidRDefault="002360C3">
      <w:pPr>
        <w:spacing w:line="276" w:lineRule="auto"/>
        <w:jc w:val="both"/>
        <w:rPr>
          <w:rFonts w:ascii="Times New Roman" w:eastAsia="Times New Roman" w:hAnsi="Times New Roman" w:cs="Times New Roman"/>
          <w:b/>
          <w:bCs/>
          <w:sz w:val="22"/>
          <w:szCs w:val="22"/>
        </w:rPr>
      </w:pPr>
    </w:p>
    <w:p w14:paraId="29DC191B" w14:textId="77777777" w:rsidR="002360C3" w:rsidRDefault="002360C3">
      <w:pPr>
        <w:spacing w:line="276" w:lineRule="auto"/>
        <w:jc w:val="both"/>
        <w:rPr>
          <w:rFonts w:ascii="Times New Roman" w:eastAsia="Times New Roman" w:hAnsi="Times New Roman" w:cs="Times New Roman"/>
          <w:b/>
          <w:bCs/>
          <w:sz w:val="22"/>
          <w:szCs w:val="22"/>
        </w:rPr>
      </w:pPr>
    </w:p>
    <w:p w14:paraId="7BBBFD31" w14:textId="77777777" w:rsidR="002360C3" w:rsidRDefault="002360C3">
      <w:pPr>
        <w:spacing w:line="276" w:lineRule="auto"/>
        <w:jc w:val="both"/>
        <w:rPr>
          <w:rFonts w:ascii="Times New Roman" w:eastAsia="Times New Roman" w:hAnsi="Times New Roman" w:cs="Times New Roman"/>
          <w:b/>
          <w:bCs/>
          <w:sz w:val="22"/>
          <w:szCs w:val="22"/>
        </w:rPr>
      </w:pPr>
    </w:p>
    <w:p w14:paraId="75ED3F94" w14:textId="77777777" w:rsidR="002360C3" w:rsidRDefault="002360C3">
      <w:pPr>
        <w:spacing w:line="276" w:lineRule="auto"/>
        <w:jc w:val="both"/>
        <w:rPr>
          <w:rFonts w:ascii="Times New Roman" w:eastAsia="Times New Roman" w:hAnsi="Times New Roman" w:cs="Times New Roman"/>
          <w:b/>
          <w:bCs/>
          <w:sz w:val="22"/>
          <w:szCs w:val="22"/>
        </w:rPr>
      </w:pPr>
    </w:p>
    <w:p w14:paraId="29ACF77E"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14</w:t>
      </w:r>
    </w:p>
    <w:p w14:paraId="6B9F77CF" w14:textId="77777777" w:rsidR="002360C3" w:rsidRDefault="00000000">
      <w:pPr>
        <w:spacing w:line="276" w:lineRule="auto"/>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Atardecer</w:t>
      </w:r>
      <w:r>
        <w:rPr>
          <w:rFonts w:ascii="Times New Roman" w:eastAsia="Times New Roman" w:hAnsi="Times New Roman" w:cs="Times New Roman"/>
          <w:i/>
          <w:iCs/>
          <w:sz w:val="22"/>
          <w:szCs w:val="22"/>
        </w:rPr>
        <w:t>, primera variación</w:t>
      </w:r>
    </w:p>
    <w:p w14:paraId="5FC434A3" w14:textId="77777777" w:rsidR="002360C3" w:rsidRDefault="00000000">
      <w:pPr>
        <w:spacing w:line="276" w:lineRule="auto"/>
        <w:jc w:val="both"/>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74D9C919" wp14:editId="6204B4C6">
            <wp:extent cx="4868228" cy="2372124"/>
            <wp:effectExtent l="0" t="0" r="0" b="0"/>
            <wp:docPr id="10"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7"/>
                    <a:srcRect/>
                    <a:stretch>
                      <a:fillRect/>
                    </a:stretch>
                  </pic:blipFill>
                  <pic:spPr>
                    <a:xfrm>
                      <a:off x="0" y="0"/>
                      <a:ext cx="4868228" cy="2372124"/>
                    </a:xfrm>
                    <a:prstGeom prst="rect">
                      <a:avLst/>
                    </a:prstGeom>
                    <a:ln/>
                  </pic:spPr>
                </pic:pic>
              </a:graphicData>
            </a:graphic>
          </wp:inline>
        </w:drawing>
      </w:r>
    </w:p>
    <w:p w14:paraId="05243566"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592137E9" w14:textId="77777777" w:rsidR="002360C3" w:rsidRDefault="002360C3">
      <w:pPr>
        <w:spacing w:line="276" w:lineRule="auto"/>
        <w:jc w:val="both"/>
        <w:rPr>
          <w:rFonts w:ascii="Times New Roman" w:eastAsia="Times New Roman" w:hAnsi="Times New Roman" w:cs="Times New Roman"/>
        </w:rPr>
      </w:pPr>
    </w:p>
    <w:p w14:paraId="6A6AC5C6" w14:textId="77777777" w:rsidR="002360C3" w:rsidRDefault="00000000">
      <w:pPr>
        <w:numPr>
          <w:ilvl w:val="0"/>
          <w:numId w:val="8"/>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Segunda variación</w:t>
      </w:r>
      <w:r>
        <w:rPr>
          <w:rFonts w:ascii="Times New Roman" w:eastAsia="Times New Roman" w:hAnsi="Times New Roman" w:cs="Times New Roman"/>
        </w:rPr>
        <w:t>: Realizada por el violín en el compás 13 (Figura 15). Mantiene el primer compás del motivo melódico principal, una octava más aguda que la exposición original. El segundo compás presenta una variación con disminución rítmica, y la melodía en el cuarto pulso es similar a la primera variación, pero transpuesta una novena menor más aguda en comparación con la exposición del violín en el compás 6.</w:t>
      </w:r>
    </w:p>
    <w:p w14:paraId="1D323EDC" w14:textId="77777777" w:rsidR="002360C3" w:rsidRDefault="002360C3">
      <w:pPr>
        <w:spacing w:line="276" w:lineRule="auto"/>
        <w:ind w:left="720"/>
        <w:jc w:val="both"/>
        <w:rPr>
          <w:rFonts w:ascii="Times New Roman" w:eastAsia="Times New Roman" w:hAnsi="Times New Roman" w:cs="Times New Roman"/>
        </w:rPr>
      </w:pPr>
    </w:p>
    <w:p w14:paraId="2BA2300D"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15</w:t>
      </w:r>
    </w:p>
    <w:p w14:paraId="081A2A0F" w14:textId="77777777" w:rsidR="002360C3" w:rsidRDefault="00000000">
      <w:pPr>
        <w:spacing w:line="276" w:lineRule="auto"/>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Atardecer</w:t>
      </w:r>
      <w:r>
        <w:rPr>
          <w:rFonts w:ascii="Times New Roman" w:eastAsia="Times New Roman" w:hAnsi="Times New Roman" w:cs="Times New Roman"/>
          <w:i/>
          <w:iCs/>
          <w:sz w:val="22"/>
          <w:szCs w:val="22"/>
        </w:rPr>
        <w:t>, segunda variación</w:t>
      </w:r>
    </w:p>
    <w:p w14:paraId="6ECC31ED"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6997F0F6" wp14:editId="0503EFD4">
            <wp:extent cx="5612130" cy="1016000"/>
            <wp:effectExtent l="0" t="0" r="0" b="0"/>
            <wp:docPr id="2"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8"/>
                    <a:srcRect/>
                    <a:stretch>
                      <a:fillRect/>
                    </a:stretch>
                  </pic:blipFill>
                  <pic:spPr>
                    <a:xfrm>
                      <a:off x="0" y="0"/>
                      <a:ext cx="5612130" cy="1016000"/>
                    </a:xfrm>
                    <a:prstGeom prst="rect">
                      <a:avLst/>
                    </a:prstGeom>
                    <a:ln/>
                  </pic:spPr>
                </pic:pic>
              </a:graphicData>
            </a:graphic>
          </wp:inline>
        </w:drawing>
      </w:r>
    </w:p>
    <w:p w14:paraId="2AA43EF2"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7A0F8853" w14:textId="77777777" w:rsidR="002360C3" w:rsidRDefault="002360C3">
      <w:pPr>
        <w:spacing w:line="276" w:lineRule="auto"/>
        <w:jc w:val="both"/>
        <w:rPr>
          <w:rFonts w:ascii="Times New Roman" w:eastAsia="Times New Roman" w:hAnsi="Times New Roman" w:cs="Times New Roman"/>
        </w:rPr>
      </w:pPr>
    </w:p>
    <w:p w14:paraId="40EDE41E" w14:textId="77777777" w:rsidR="002360C3" w:rsidRDefault="00000000">
      <w:pPr>
        <w:numPr>
          <w:ilvl w:val="0"/>
          <w:numId w:val="8"/>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Tercera variación</w:t>
      </w:r>
      <w:r>
        <w:rPr>
          <w:rFonts w:ascii="Times New Roman" w:eastAsia="Times New Roman" w:hAnsi="Times New Roman" w:cs="Times New Roman"/>
        </w:rPr>
        <w:t>: Expuesta en el compás 17 por el violonchelo (Figura 16). Es una versión en espejo del motivo principal, una quinta más aguda, y el segundo compás se varía de la misma manera que en la segunda variación.</w:t>
      </w:r>
    </w:p>
    <w:p w14:paraId="0155386E" w14:textId="77777777" w:rsidR="002360C3" w:rsidRDefault="002360C3">
      <w:pPr>
        <w:spacing w:line="276" w:lineRule="auto"/>
        <w:jc w:val="both"/>
        <w:rPr>
          <w:rFonts w:ascii="Times New Roman" w:eastAsia="Times New Roman" w:hAnsi="Times New Roman" w:cs="Times New Roman"/>
        </w:rPr>
      </w:pPr>
    </w:p>
    <w:p w14:paraId="3D628C28"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16</w:t>
      </w:r>
    </w:p>
    <w:p w14:paraId="08A7BD37" w14:textId="77777777" w:rsidR="002360C3" w:rsidRDefault="00000000">
      <w:pPr>
        <w:spacing w:line="276" w:lineRule="auto"/>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Atardecer</w:t>
      </w:r>
      <w:r>
        <w:rPr>
          <w:rFonts w:ascii="Times New Roman" w:eastAsia="Times New Roman" w:hAnsi="Times New Roman" w:cs="Times New Roman"/>
          <w:i/>
          <w:iCs/>
          <w:sz w:val="22"/>
          <w:szCs w:val="22"/>
        </w:rPr>
        <w:t>, tercera variación</w:t>
      </w:r>
    </w:p>
    <w:p w14:paraId="2612AE64"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03143F0F" wp14:editId="3AC3C7EA">
            <wp:extent cx="5612130" cy="1270000"/>
            <wp:effectExtent l="0" t="0" r="0" b="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9"/>
                    <a:srcRect/>
                    <a:stretch>
                      <a:fillRect/>
                    </a:stretch>
                  </pic:blipFill>
                  <pic:spPr>
                    <a:xfrm>
                      <a:off x="0" y="0"/>
                      <a:ext cx="5612130" cy="1270000"/>
                    </a:xfrm>
                    <a:prstGeom prst="rect">
                      <a:avLst/>
                    </a:prstGeom>
                    <a:ln/>
                  </pic:spPr>
                </pic:pic>
              </a:graphicData>
            </a:graphic>
          </wp:inline>
        </w:drawing>
      </w:r>
    </w:p>
    <w:p w14:paraId="35B8E9C7"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11ED3AA8" w14:textId="77777777" w:rsidR="002360C3" w:rsidRDefault="002360C3">
      <w:pPr>
        <w:spacing w:line="276" w:lineRule="auto"/>
        <w:jc w:val="both"/>
        <w:rPr>
          <w:rFonts w:ascii="Times New Roman" w:eastAsia="Times New Roman" w:hAnsi="Times New Roman" w:cs="Times New Roman"/>
        </w:rPr>
      </w:pPr>
    </w:p>
    <w:p w14:paraId="54EFFDD2" w14:textId="77777777" w:rsidR="002360C3" w:rsidRDefault="00000000">
      <w:pPr>
        <w:numPr>
          <w:ilvl w:val="0"/>
          <w:numId w:val="8"/>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Cuarta variación</w:t>
      </w:r>
      <w:r>
        <w:rPr>
          <w:rFonts w:ascii="Times New Roman" w:eastAsia="Times New Roman" w:hAnsi="Times New Roman" w:cs="Times New Roman"/>
        </w:rPr>
        <w:t>: Trabajada en el compás 21 (Figura 17). Se aplica una aumentación rítmica en los dos compases que constituyen el motivo principal, modificando los pulsos tres y cuatro, que pasan de corcheas a negras. Esta ralentización rítmica provoca una sensación de quietud en el fraseo rítmico</w:t>
      </w:r>
      <w:r>
        <w:rPr>
          <w:rFonts w:ascii="Times New Roman" w:eastAsia="Times New Roman" w:hAnsi="Times New Roman" w:cs="Times New Roman"/>
          <w:i/>
          <w:iCs/>
          <w:sz w:val="20"/>
          <w:szCs w:val="20"/>
        </w:rPr>
        <w:t>–</w:t>
      </w:r>
      <w:r>
        <w:rPr>
          <w:rFonts w:ascii="Times New Roman" w:eastAsia="Times New Roman" w:hAnsi="Times New Roman" w:cs="Times New Roman"/>
        </w:rPr>
        <w:t xml:space="preserve">melódico, evocando la tranquilidad del atardecer y el inminente paso a la noche. Este motivo continúa en la segunda sección de la pieza transpuesto una tercera mayor más aguda al modo </w:t>
      </w:r>
      <w:r>
        <w:rPr>
          <w:rFonts w:ascii="Times New Roman" w:eastAsia="Times New Roman" w:hAnsi="Times New Roman" w:cs="Times New Roman"/>
          <w:i/>
          <w:iCs/>
        </w:rPr>
        <w:t>la</w:t>
      </w:r>
      <w:r>
        <w:rPr>
          <w:rFonts w:ascii="Times New Roman" w:eastAsia="Times New Roman" w:hAnsi="Times New Roman" w:cs="Times New Roman"/>
        </w:rPr>
        <w:t xml:space="preserve"> dórico, interpretado por el piano y el violonchelo en octavas (Figura 35), lo que mantiene una coherencia temática mientras se explora una nueva sonoridad modal.</w:t>
      </w:r>
    </w:p>
    <w:p w14:paraId="15E94360" w14:textId="77777777" w:rsidR="002360C3" w:rsidRDefault="002360C3">
      <w:pPr>
        <w:spacing w:line="276" w:lineRule="auto"/>
        <w:jc w:val="both"/>
        <w:rPr>
          <w:rFonts w:ascii="Times New Roman" w:eastAsia="Times New Roman" w:hAnsi="Times New Roman" w:cs="Times New Roman"/>
        </w:rPr>
      </w:pPr>
    </w:p>
    <w:p w14:paraId="30CA646F"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17</w:t>
      </w:r>
    </w:p>
    <w:p w14:paraId="5F7BD6C1" w14:textId="77777777" w:rsidR="002360C3" w:rsidRDefault="00000000">
      <w:pPr>
        <w:spacing w:line="276" w:lineRule="auto"/>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Atardecer</w:t>
      </w:r>
      <w:r>
        <w:rPr>
          <w:rFonts w:ascii="Times New Roman" w:eastAsia="Times New Roman" w:hAnsi="Times New Roman" w:cs="Times New Roman"/>
          <w:i/>
          <w:iCs/>
          <w:sz w:val="22"/>
          <w:szCs w:val="22"/>
        </w:rPr>
        <w:t>, cuarta variación</w:t>
      </w:r>
    </w:p>
    <w:p w14:paraId="2CEAA18D"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03D92EF6" wp14:editId="3DEB3A68">
            <wp:extent cx="5001578" cy="1402559"/>
            <wp:effectExtent l="0" t="0" r="0" b="0"/>
            <wp:docPr id="17"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30"/>
                    <a:srcRect/>
                    <a:stretch>
                      <a:fillRect/>
                    </a:stretch>
                  </pic:blipFill>
                  <pic:spPr>
                    <a:xfrm>
                      <a:off x="0" y="0"/>
                      <a:ext cx="5001578" cy="1402559"/>
                    </a:xfrm>
                    <a:prstGeom prst="rect">
                      <a:avLst/>
                    </a:prstGeom>
                    <a:ln/>
                  </pic:spPr>
                </pic:pic>
              </a:graphicData>
            </a:graphic>
          </wp:inline>
        </w:drawing>
      </w:r>
    </w:p>
    <w:p w14:paraId="4044663B"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1B12AE44" w14:textId="77777777" w:rsidR="002360C3" w:rsidRDefault="002360C3">
      <w:pPr>
        <w:spacing w:line="276" w:lineRule="auto"/>
        <w:jc w:val="both"/>
        <w:rPr>
          <w:rFonts w:ascii="Times New Roman" w:eastAsia="Times New Roman" w:hAnsi="Times New Roman" w:cs="Times New Roman"/>
        </w:rPr>
      </w:pPr>
    </w:p>
    <w:p w14:paraId="36B42F76" w14:textId="77777777" w:rsidR="002360C3" w:rsidRDefault="00000000">
      <w:pPr>
        <w:numPr>
          <w:ilvl w:val="0"/>
          <w:numId w:val="8"/>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Quinta variación</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 xml:space="preserve">Realizada con una disminución rítmica general (Figura 18). Todas las notas de la melodía se reducen a figuras de negra. Esta variación es transpuesta una onceava más aguda del motivo original y se adapta al modo </w:t>
      </w:r>
      <w:r>
        <w:rPr>
          <w:rFonts w:ascii="Times New Roman" w:eastAsia="Times New Roman" w:hAnsi="Times New Roman" w:cs="Times New Roman"/>
          <w:i/>
          <w:iCs/>
        </w:rPr>
        <w:t>la</w:t>
      </w:r>
      <w:r>
        <w:rPr>
          <w:rFonts w:ascii="Times New Roman" w:eastAsia="Times New Roman" w:hAnsi="Times New Roman" w:cs="Times New Roman"/>
        </w:rPr>
        <w:t xml:space="preserve"> dórico, siendo interpretada por el violín. Se reexpone en los compases 33, 41 y 49 en diferentes octavas, ahora en el modo </w:t>
      </w:r>
      <w:r>
        <w:rPr>
          <w:rFonts w:ascii="Times New Roman" w:eastAsia="Times New Roman" w:hAnsi="Times New Roman" w:cs="Times New Roman"/>
          <w:i/>
          <w:iCs/>
        </w:rPr>
        <w:t xml:space="preserve">si </w:t>
      </w:r>
      <w:r>
        <w:rPr>
          <w:rFonts w:ascii="Times New Roman" w:eastAsia="Times New Roman" w:hAnsi="Times New Roman" w:cs="Times New Roman"/>
        </w:rPr>
        <w:t>bemol eólico, lo que subraya la progresiva densificación de la atmósfera sonora.</w:t>
      </w:r>
    </w:p>
    <w:p w14:paraId="398D83A8" w14:textId="77777777" w:rsidR="002360C3" w:rsidRDefault="002360C3">
      <w:pPr>
        <w:spacing w:line="276" w:lineRule="auto"/>
        <w:ind w:left="720"/>
        <w:jc w:val="both"/>
        <w:rPr>
          <w:rFonts w:ascii="Times New Roman" w:eastAsia="Times New Roman" w:hAnsi="Times New Roman" w:cs="Times New Roman"/>
        </w:rPr>
      </w:pPr>
    </w:p>
    <w:p w14:paraId="050089F1"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18</w:t>
      </w:r>
    </w:p>
    <w:p w14:paraId="00B8A817" w14:textId="77777777" w:rsidR="002360C3" w:rsidRDefault="00000000">
      <w:pPr>
        <w:spacing w:line="276" w:lineRule="auto"/>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Atardecer</w:t>
      </w:r>
      <w:r>
        <w:rPr>
          <w:rFonts w:ascii="Times New Roman" w:eastAsia="Times New Roman" w:hAnsi="Times New Roman" w:cs="Times New Roman"/>
          <w:i/>
          <w:iCs/>
          <w:sz w:val="22"/>
          <w:szCs w:val="22"/>
        </w:rPr>
        <w:t>, quinta variación</w:t>
      </w:r>
    </w:p>
    <w:p w14:paraId="47151D0C"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042C739D" wp14:editId="385BFA9E">
            <wp:extent cx="5612130" cy="1092200"/>
            <wp:effectExtent l="0" t="0" r="0" b="0"/>
            <wp:docPr id="19"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31"/>
                    <a:srcRect/>
                    <a:stretch>
                      <a:fillRect/>
                    </a:stretch>
                  </pic:blipFill>
                  <pic:spPr>
                    <a:xfrm>
                      <a:off x="0" y="0"/>
                      <a:ext cx="5612130" cy="1092200"/>
                    </a:xfrm>
                    <a:prstGeom prst="rect">
                      <a:avLst/>
                    </a:prstGeom>
                    <a:ln/>
                  </pic:spPr>
                </pic:pic>
              </a:graphicData>
            </a:graphic>
          </wp:inline>
        </w:drawing>
      </w:r>
    </w:p>
    <w:p w14:paraId="10083306"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259A2E12" w14:textId="77777777" w:rsidR="002360C3" w:rsidRDefault="002360C3">
      <w:pPr>
        <w:spacing w:line="276" w:lineRule="auto"/>
        <w:jc w:val="both"/>
        <w:rPr>
          <w:rFonts w:ascii="Times New Roman" w:eastAsia="Times New Roman" w:hAnsi="Times New Roman" w:cs="Times New Roman"/>
        </w:rPr>
      </w:pPr>
    </w:p>
    <w:p w14:paraId="26E6278E"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El motivo melódico principal es retomado por el violín en el compás 37 y repetido por el violonchelo en el compás 39, transpuesto al modo de </w:t>
      </w:r>
      <w:r>
        <w:rPr>
          <w:rFonts w:ascii="Times New Roman" w:eastAsia="Times New Roman" w:hAnsi="Times New Roman" w:cs="Times New Roman"/>
          <w:i/>
          <w:iCs/>
        </w:rPr>
        <w:t xml:space="preserve">si </w:t>
      </w:r>
      <w:r>
        <w:rPr>
          <w:rFonts w:ascii="Times New Roman" w:eastAsia="Times New Roman" w:hAnsi="Times New Roman" w:cs="Times New Roman"/>
        </w:rPr>
        <w:t>bemol eólico. Esta reaparición del motivo en un modo más sombrío, junto con la repetición en el compás 45 (violín una octava baja, violonchelo mismo registro en el compás 47), refuerza la sensación de atardecer avanzado.</w:t>
      </w:r>
    </w:p>
    <w:p w14:paraId="66884335"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Es notable la aparición de un pequeño motivo rítmico</w:t>
      </w:r>
      <w:r>
        <w:rPr>
          <w:rFonts w:ascii="Times New Roman" w:eastAsia="Times New Roman" w:hAnsi="Times New Roman" w:cs="Times New Roman"/>
          <w:i/>
          <w:iCs/>
          <w:sz w:val="20"/>
          <w:szCs w:val="20"/>
        </w:rPr>
        <w:t>–</w:t>
      </w:r>
      <w:r>
        <w:rPr>
          <w:rFonts w:ascii="Times New Roman" w:eastAsia="Times New Roman" w:hAnsi="Times New Roman" w:cs="Times New Roman"/>
        </w:rPr>
        <w:t>melódico que surge como respuesta a la primera variación del piano en el compás 12 (Figura 19). Este motivo se mantiene rítmicamente intacto, pero presenta variaciones melódicas ascendentes y descendentes a lo largo de la pieza, creando un contraste dinámico en respuesta a las frases precedentes.</w:t>
      </w:r>
    </w:p>
    <w:p w14:paraId="1487332E"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El piano en “Atardecer” juega un rol predominante en el acompañamiento armónico, manteniendo poco peso y densidad. Su uso del registro medio</w:t>
      </w:r>
      <w:r>
        <w:rPr>
          <w:rFonts w:ascii="Times New Roman" w:eastAsia="Times New Roman" w:hAnsi="Times New Roman" w:cs="Times New Roman"/>
          <w:i/>
          <w:iCs/>
          <w:sz w:val="20"/>
          <w:szCs w:val="20"/>
        </w:rPr>
        <w:t>–</w:t>
      </w:r>
      <w:r>
        <w:rPr>
          <w:rFonts w:ascii="Times New Roman" w:eastAsia="Times New Roman" w:hAnsi="Times New Roman" w:cs="Times New Roman"/>
        </w:rPr>
        <w:t>grave es estratégico para reforzar el tránsito tímbrico hacia la noche y la oscuridad. En la sección inicial, el piano también dobla algunas melodías de los instrumentos de cuerda en octavas para afianzar el sentido melódico. Los elementos de interpretación y expresivos, como la apoyatura en el compás 11 (piano), </w:t>
      </w:r>
      <w:r>
        <w:rPr>
          <w:rFonts w:ascii="Times New Roman" w:eastAsia="Times New Roman" w:hAnsi="Times New Roman" w:cs="Times New Roman"/>
          <w:i/>
          <w:iCs/>
        </w:rPr>
        <w:t>crescendo</w:t>
      </w:r>
      <w:r>
        <w:rPr>
          <w:rFonts w:ascii="Times New Roman" w:eastAsia="Times New Roman" w:hAnsi="Times New Roman" w:cs="Times New Roman"/>
        </w:rPr>
        <w:t>, </w:t>
      </w:r>
      <w:r>
        <w:rPr>
          <w:rFonts w:ascii="Times New Roman" w:eastAsia="Times New Roman" w:hAnsi="Times New Roman" w:cs="Times New Roman"/>
          <w:i/>
          <w:iCs/>
        </w:rPr>
        <w:t>decrescendo</w:t>
      </w:r>
      <w:r>
        <w:rPr>
          <w:rFonts w:ascii="Times New Roman" w:eastAsia="Times New Roman" w:hAnsi="Times New Roman" w:cs="Times New Roman"/>
        </w:rPr>
        <w:t>, </w:t>
      </w:r>
      <w:r>
        <w:rPr>
          <w:rFonts w:ascii="Times New Roman" w:eastAsia="Times New Roman" w:hAnsi="Times New Roman" w:cs="Times New Roman"/>
          <w:i/>
          <w:iCs/>
        </w:rPr>
        <w:t>staccato</w:t>
      </w:r>
      <w:r>
        <w:rPr>
          <w:rFonts w:ascii="Times New Roman" w:eastAsia="Times New Roman" w:hAnsi="Times New Roman" w:cs="Times New Roman"/>
        </w:rPr>
        <w:t>, </w:t>
      </w:r>
      <w:r>
        <w:rPr>
          <w:rFonts w:ascii="Times New Roman" w:eastAsia="Times New Roman" w:hAnsi="Times New Roman" w:cs="Times New Roman"/>
          <w:i/>
          <w:iCs/>
        </w:rPr>
        <w:t>tenuto</w:t>
      </w:r>
      <w:r>
        <w:rPr>
          <w:rFonts w:ascii="Times New Roman" w:eastAsia="Times New Roman" w:hAnsi="Times New Roman" w:cs="Times New Roman"/>
        </w:rPr>
        <w:t xml:space="preserve">, acentos y ligaduras de </w:t>
      </w:r>
      <w:r>
        <w:rPr>
          <w:rFonts w:ascii="Times New Roman" w:eastAsia="Times New Roman" w:hAnsi="Times New Roman" w:cs="Times New Roman"/>
        </w:rPr>
        <w:lastRenderedPageBreak/>
        <w:t>expresión, y las dinámicas que varían de piano a mezzoforte, son cruciales para el contraste y la expresión del discurso melódico.</w:t>
      </w:r>
    </w:p>
    <w:p w14:paraId="21C326E8"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La sección A se inicia con una combinación de métricas de cuatro cuartos (4/4) y tres cuartos (¾) en los primeros 8 compases, donde se presenta el motivo melódico principal. A partir del compás 9, la métrica se mantiene en cuatro cuartos (4/4) para el desarrollo de las tres primeras variaciones. El desarrollo armónico de esta sección se basa en el modo </w:t>
      </w:r>
      <w:r>
        <w:rPr>
          <w:rFonts w:ascii="Times New Roman" w:eastAsia="Times New Roman" w:hAnsi="Times New Roman" w:cs="Times New Roman"/>
          <w:i/>
          <w:iCs/>
        </w:rPr>
        <w:t>fa</w:t>
      </w:r>
      <w:r>
        <w:rPr>
          <w:rFonts w:ascii="Times New Roman" w:eastAsia="Times New Roman" w:hAnsi="Times New Roman" w:cs="Times New Roman"/>
        </w:rPr>
        <w:t xml:space="preserve"> mixolidio, utilizando acordes como </w:t>
      </w:r>
      <w:r>
        <w:rPr>
          <w:rFonts w:ascii="Times New Roman" w:eastAsia="Times New Roman" w:hAnsi="Times New Roman" w:cs="Times New Roman"/>
          <w:i/>
          <w:iCs/>
        </w:rPr>
        <w:t xml:space="preserve">fa </w:t>
      </w:r>
      <w:r>
        <w:rPr>
          <w:rFonts w:ascii="Times New Roman" w:eastAsia="Times New Roman" w:hAnsi="Times New Roman" w:cs="Times New Roman"/>
        </w:rPr>
        <w:t xml:space="preserve">mayor, </w:t>
      </w:r>
      <w:r>
        <w:rPr>
          <w:rFonts w:ascii="Times New Roman" w:eastAsia="Times New Roman" w:hAnsi="Times New Roman" w:cs="Times New Roman"/>
          <w:i/>
          <w:iCs/>
        </w:rPr>
        <w:t xml:space="preserve">fa </w:t>
      </w:r>
      <w:r>
        <w:rPr>
          <w:rFonts w:ascii="Times New Roman" w:eastAsia="Times New Roman" w:hAnsi="Times New Roman" w:cs="Times New Roman"/>
        </w:rPr>
        <w:t xml:space="preserve">sus4, </w:t>
      </w:r>
      <w:r>
        <w:rPr>
          <w:rFonts w:ascii="Times New Roman" w:eastAsia="Times New Roman" w:hAnsi="Times New Roman" w:cs="Times New Roman"/>
          <w:i/>
          <w:iCs/>
        </w:rPr>
        <w:t>si</w:t>
      </w:r>
      <w:r>
        <w:rPr>
          <w:rFonts w:ascii="Times New Roman" w:eastAsia="Times New Roman" w:hAnsi="Times New Roman" w:cs="Times New Roman"/>
        </w:rPr>
        <w:t xml:space="preserve"> bemol mayor, </w:t>
      </w:r>
      <w:r>
        <w:rPr>
          <w:rFonts w:ascii="Times New Roman" w:eastAsia="Times New Roman" w:hAnsi="Times New Roman" w:cs="Times New Roman"/>
          <w:i/>
          <w:iCs/>
        </w:rPr>
        <w:t>si</w:t>
      </w:r>
      <w:r>
        <w:rPr>
          <w:rFonts w:ascii="Times New Roman" w:eastAsia="Times New Roman" w:hAnsi="Times New Roman" w:cs="Times New Roman"/>
        </w:rPr>
        <w:t xml:space="preserve"> bemol sus4, </w:t>
      </w:r>
      <w:r>
        <w:rPr>
          <w:rFonts w:ascii="Times New Roman" w:eastAsia="Times New Roman" w:hAnsi="Times New Roman" w:cs="Times New Roman"/>
          <w:i/>
          <w:iCs/>
        </w:rPr>
        <w:t xml:space="preserve">sol </w:t>
      </w:r>
      <w:r>
        <w:rPr>
          <w:rFonts w:ascii="Times New Roman" w:eastAsia="Times New Roman" w:hAnsi="Times New Roman" w:cs="Times New Roman"/>
        </w:rPr>
        <w:t xml:space="preserve">menor, </w:t>
      </w:r>
      <w:r>
        <w:rPr>
          <w:rFonts w:ascii="Times New Roman" w:eastAsia="Times New Roman" w:hAnsi="Times New Roman" w:cs="Times New Roman"/>
          <w:i/>
          <w:iCs/>
        </w:rPr>
        <w:t>re</w:t>
      </w:r>
      <w:r>
        <w:rPr>
          <w:rFonts w:ascii="Times New Roman" w:eastAsia="Times New Roman" w:hAnsi="Times New Roman" w:cs="Times New Roman"/>
        </w:rPr>
        <w:t xml:space="preserve"> menor, </w:t>
      </w:r>
      <w:r>
        <w:rPr>
          <w:rFonts w:ascii="Times New Roman" w:eastAsia="Times New Roman" w:hAnsi="Times New Roman" w:cs="Times New Roman"/>
          <w:i/>
          <w:iCs/>
        </w:rPr>
        <w:t>do</w:t>
      </w:r>
      <w:r>
        <w:rPr>
          <w:rFonts w:ascii="Times New Roman" w:eastAsia="Times New Roman" w:hAnsi="Times New Roman" w:cs="Times New Roman"/>
        </w:rPr>
        <w:t xml:space="preserve"> menor y </w:t>
      </w:r>
      <w:r>
        <w:rPr>
          <w:rFonts w:ascii="Times New Roman" w:eastAsia="Times New Roman" w:hAnsi="Times New Roman" w:cs="Times New Roman"/>
          <w:i/>
          <w:iCs/>
        </w:rPr>
        <w:t>mi</w:t>
      </w:r>
      <w:r>
        <w:rPr>
          <w:rFonts w:ascii="Times New Roman" w:eastAsia="Times New Roman" w:hAnsi="Times New Roman" w:cs="Times New Roman"/>
        </w:rPr>
        <w:t xml:space="preserve"> bemol mayor.</w:t>
      </w:r>
    </w:p>
    <w:p w14:paraId="56B858CA"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La sección B se desarrolla armónicamente en el modo </w:t>
      </w:r>
      <w:r>
        <w:rPr>
          <w:rFonts w:ascii="Times New Roman" w:eastAsia="Times New Roman" w:hAnsi="Times New Roman" w:cs="Times New Roman"/>
          <w:i/>
          <w:iCs/>
        </w:rPr>
        <w:t>la</w:t>
      </w:r>
      <w:r>
        <w:rPr>
          <w:rFonts w:ascii="Times New Roman" w:eastAsia="Times New Roman" w:hAnsi="Times New Roman" w:cs="Times New Roman"/>
        </w:rPr>
        <w:t xml:space="preserve"> dórico y </w:t>
      </w:r>
      <w:r>
        <w:rPr>
          <w:rFonts w:ascii="Times New Roman" w:eastAsia="Times New Roman" w:hAnsi="Times New Roman" w:cs="Times New Roman"/>
          <w:i/>
          <w:iCs/>
        </w:rPr>
        <w:t xml:space="preserve">si </w:t>
      </w:r>
      <w:r>
        <w:rPr>
          <w:rFonts w:ascii="Times New Roman" w:eastAsia="Times New Roman" w:hAnsi="Times New Roman" w:cs="Times New Roman"/>
        </w:rPr>
        <w:t xml:space="preserve">bemol eólico. Aquí se exponen la cuarta variación (violín) y la quinta variación del motivo melódico (piano y violonchelo). En el compás 37, el motivo principal se expone en </w:t>
      </w:r>
      <w:r>
        <w:rPr>
          <w:rFonts w:ascii="Times New Roman" w:eastAsia="Times New Roman" w:hAnsi="Times New Roman" w:cs="Times New Roman"/>
          <w:i/>
          <w:iCs/>
        </w:rPr>
        <w:t xml:space="preserve">si </w:t>
      </w:r>
      <w:r>
        <w:rPr>
          <w:rFonts w:ascii="Times New Roman" w:eastAsia="Times New Roman" w:hAnsi="Times New Roman" w:cs="Times New Roman"/>
        </w:rPr>
        <w:t xml:space="preserve">bemol eólico. Para el modo </w:t>
      </w:r>
      <w:r>
        <w:rPr>
          <w:rFonts w:ascii="Times New Roman" w:eastAsia="Times New Roman" w:hAnsi="Times New Roman" w:cs="Times New Roman"/>
          <w:i/>
          <w:iCs/>
        </w:rPr>
        <w:t>la</w:t>
      </w:r>
      <w:r>
        <w:rPr>
          <w:rFonts w:ascii="Times New Roman" w:eastAsia="Times New Roman" w:hAnsi="Times New Roman" w:cs="Times New Roman"/>
        </w:rPr>
        <w:t xml:space="preserve"> dórico se utilizaron acordes como </w:t>
      </w:r>
      <w:r>
        <w:rPr>
          <w:rFonts w:ascii="Times New Roman" w:eastAsia="Times New Roman" w:hAnsi="Times New Roman" w:cs="Times New Roman"/>
          <w:i/>
          <w:iCs/>
        </w:rPr>
        <w:t>la</w:t>
      </w:r>
      <w:r>
        <w:rPr>
          <w:rFonts w:ascii="Times New Roman" w:eastAsia="Times New Roman" w:hAnsi="Times New Roman" w:cs="Times New Roman"/>
        </w:rPr>
        <w:t xml:space="preserve"> menor, </w:t>
      </w:r>
      <w:r>
        <w:rPr>
          <w:rFonts w:ascii="Times New Roman" w:eastAsia="Times New Roman" w:hAnsi="Times New Roman" w:cs="Times New Roman"/>
          <w:i/>
          <w:iCs/>
        </w:rPr>
        <w:t xml:space="preserve">si </w:t>
      </w:r>
      <w:r>
        <w:rPr>
          <w:rFonts w:ascii="Times New Roman" w:eastAsia="Times New Roman" w:hAnsi="Times New Roman" w:cs="Times New Roman"/>
        </w:rPr>
        <w:t xml:space="preserve">menor y </w:t>
      </w:r>
      <w:r>
        <w:rPr>
          <w:rFonts w:ascii="Times New Roman" w:eastAsia="Times New Roman" w:hAnsi="Times New Roman" w:cs="Times New Roman"/>
          <w:i/>
          <w:iCs/>
        </w:rPr>
        <w:t xml:space="preserve">re </w:t>
      </w:r>
      <w:r>
        <w:rPr>
          <w:rFonts w:ascii="Times New Roman" w:eastAsia="Times New Roman" w:hAnsi="Times New Roman" w:cs="Times New Roman"/>
        </w:rPr>
        <w:t xml:space="preserve">mayor, y para el modo </w:t>
      </w:r>
      <w:r>
        <w:rPr>
          <w:rFonts w:ascii="Times New Roman" w:eastAsia="Times New Roman" w:hAnsi="Times New Roman" w:cs="Times New Roman"/>
          <w:i/>
          <w:iCs/>
        </w:rPr>
        <w:t xml:space="preserve">si </w:t>
      </w:r>
      <w:r>
        <w:rPr>
          <w:rFonts w:ascii="Times New Roman" w:eastAsia="Times New Roman" w:hAnsi="Times New Roman" w:cs="Times New Roman"/>
        </w:rPr>
        <w:t xml:space="preserve">bemol eólico, acordes como </w:t>
      </w:r>
      <w:r>
        <w:rPr>
          <w:rFonts w:ascii="Times New Roman" w:eastAsia="Times New Roman" w:hAnsi="Times New Roman" w:cs="Times New Roman"/>
          <w:i/>
          <w:iCs/>
        </w:rPr>
        <w:t xml:space="preserve">si </w:t>
      </w:r>
      <w:r>
        <w:rPr>
          <w:rFonts w:ascii="Times New Roman" w:eastAsia="Times New Roman" w:hAnsi="Times New Roman" w:cs="Times New Roman"/>
        </w:rPr>
        <w:t xml:space="preserve">bemol menor, </w:t>
      </w:r>
      <w:r>
        <w:rPr>
          <w:rFonts w:ascii="Times New Roman" w:eastAsia="Times New Roman" w:hAnsi="Times New Roman" w:cs="Times New Roman"/>
          <w:i/>
          <w:iCs/>
        </w:rPr>
        <w:t>mi</w:t>
      </w:r>
      <w:r>
        <w:rPr>
          <w:rFonts w:ascii="Times New Roman" w:eastAsia="Times New Roman" w:hAnsi="Times New Roman" w:cs="Times New Roman"/>
        </w:rPr>
        <w:t xml:space="preserve"> bemol menor y </w:t>
      </w:r>
      <w:r>
        <w:rPr>
          <w:rFonts w:ascii="Times New Roman" w:eastAsia="Times New Roman" w:hAnsi="Times New Roman" w:cs="Times New Roman"/>
          <w:i/>
          <w:iCs/>
        </w:rPr>
        <w:t>sol</w:t>
      </w:r>
      <w:r>
        <w:rPr>
          <w:rFonts w:ascii="Times New Roman" w:eastAsia="Times New Roman" w:hAnsi="Times New Roman" w:cs="Times New Roman"/>
        </w:rPr>
        <w:t xml:space="preserve"> bemol mayor. Estas elecciones modales y armónicas contribuyen a la progresiva inmersión en la oscuridad, preparando el terreno para la última pieza.</w:t>
      </w:r>
    </w:p>
    <w:p w14:paraId="7933144C" w14:textId="77777777" w:rsidR="002360C3" w:rsidRDefault="002360C3">
      <w:pPr>
        <w:spacing w:line="276" w:lineRule="auto"/>
        <w:jc w:val="both"/>
        <w:rPr>
          <w:rFonts w:ascii="Times New Roman" w:eastAsia="Times New Roman" w:hAnsi="Times New Roman" w:cs="Times New Roman"/>
          <w:i/>
          <w:iCs/>
        </w:rPr>
      </w:pPr>
    </w:p>
    <w:p w14:paraId="379E9C6C" w14:textId="77777777" w:rsidR="002360C3" w:rsidRDefault="00000000">
      <w:pPr>
        <w:spacing w:line="276"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Noche</w:t>
      </w:r>
    </w:p>
    <w:p w14:paraId="5AE3BBF7"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“Noche” es la quinta y última pieza de la obra, concebida para describir la llegada de la oscuridad total. Esta es la pieza más sombría de la obra, lograda a través de un tempo lento, el uso predominante de registros tímbricos graves en los instrumentos, y la implementación de acordes en </w:t>
      </w:r>
      <w:r>
        <w:rPr>
          <w:rFonts w:ascii="Times New Roman" w:eastAsia="Times New Roman" w:hAnsi="Times New Roman" w:cs="Times New Roman"/>
          <w:i/>
          <w:iCs/>
        </w:rPr>
        <w:t>cluster</w:t>
      </w:r>
      <w:r>
        <w:rPr>
          <w:rFonts w:ascii="Times New Roman" w:eastAsia="Times New Roman" w:hAnsi="Times New Roman" w:cs="Times New Roman"/>
        </w:rPr>
        <w:t>. Los modos seleccionados para generar esta sensación de oscuridad son </w:t>
      </w:r>
      <w:r>
        <w:rPr>
          <w:rFonts w:ascii="Times New Roman" w:eastAsia="Times New Roman" w:hAnsi="Times New Roman" w:cs="Times New Roman"/>
          <w:i/>
          <w:iCs/>
        </w:rPr>
        <w:t>fa</w:t>
      </w:r>
      <w:r>
        <w:rPr>
          <w:rFonts w:ascii="Times New Roman" w:eastAsia="Times New Roman" w:hAnsi="Times New Roman" w:cs="Times New Roman"/>
        </w:rPr>
        <w:t xml:space="preserve"> frigio, </w:t>
      </w:r>
      <w:r>
        <w:rPr>
          <w:rFonts w:ascii="Times New Roman" w:eastAsia="Times New Roman" w:hAnsi="Times New Roman" w:cs="Times New Roman"/>
          <w:i/>
          <w:iCs/>
        </w:rPr>
        <w:t xml:space="preserve">sol </w:t>
      </w:r>
      <w:r>
        <w:rPr>
          <w:rFonts w:ascii="Times New Roman" w:eastAsia="Times New Roman" w:hAnsi="Times New Roman" w:cs="Times New Roman"/>
        </w:rPr>
        <w:t xml:space="preserve">frigio, </w:t>
      </w:r>
      <w:r>
        <w:rPr>
          <w:rFonts w:ascii="Times New Roman" w:eastAsia="Times New Roman" w:hAnsi="Times New Roman" w:cs="Times New Roman"/>
          <w:i/>
          <w:iCs/>
        </w:rPr>
        <w:t>do</w:t>
      </w:r>
      <w:r>
        <w:rPr>
          <w:rFonts w:ascii="Times New Roman" w:eastAsia="Times New Roman" w:hAnsi="Times New Roman" w:cs="Times New Roman"/>
        </w:rPr>
        <w:t xml:space="preserve"> locrio, y una variante intensificada, </w:t>
      </w:r>
      <w:r>
        <w:rPr>
          <w:rFonts w:ascii="Times New Roman" w:eastAsia="Times New Roman" w:hAnsi="Times New Roman" w:cs="Times New Roman"/>
          <w:i/>
          <w:iCs/>
        </w:rPr>
        <w:t>do</w:t>
      </w:r>
      <w:r>
        <w:rPr>
          <w:rFonts w:ascii="Times New Roman" w:eastAsia="Times New Roman" w:hAnsi="Times New Roman" w:cs="Times New Roman"/>
        </w:rPr>
        <w:t xml:space="preserve"> locrio (bemol 4, doble bemol 7). Este último, el séptimo modo del sistema modal menor armónico, es particularmente efectivo para crear una sonoridad más disonante y oscura debido a su estructura interválica, especialmente la quinta disminuida y la cuarta y séptima doble bemol. La pieza se estructura en una forma binaria (A B), con la sección A abarcando 18 compases y la sección B, 44 compases.</w:t>
      </w:r>
    </w:p>
    <w:p w14:paraId="026B85AF" w14:textId="2F729804" w:rsidR="002360C3" w:rsidRDefault="00000000" w:rsidP="007B080C">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Esta pieza comienza en una métrica de cuatro cuartos (4/4) con la participación conjunta del piano y el violín en el modo </w:t>
      </w:r>
      <w:r>
        <w:rPr>
          <w:rFonts w:ascii="Times New Roman" w:eastAsia="Times New Roman" w:hAnsi="Times New Roman" w:cs="Times New Roman"/>
          <w:i/>
          <w:iCs/>
        </w:rPr>
        <w:t>fa</w:t>
      </w:r>
      <w:r>
        <w:rPr>
          <w:rFonts w:ascii="Times New Roman" w:eastAsia="Times New Roman" w:hAnsi="Times New Roman" w:cs="Times New Roman"/>
        </w:rPr>
        <w:t xml:space="preserve"> frigio durante los primeros ocho compases. El violín interpreta con una expresión </w:t>
      </w:r>
      <w:r>
        <w:rPr>
          <w:rFonts w:ascii="Times New Roman" w:eastAsia="Times New Roman" w:hAnsi="Times New Roman" w:cs="Times New Roman"/>
          <w:i/>
          <w:iCs/>
        </w:rPr>
        <w:t>ligera</w:t>
      </w:r>
      <w:r>
        <w:rPr>
          <w:rFonts w:ascii="Times New Roman" w:eastAsia="Times New Roman" w:hAnsi="Times New Roman" w:cs="Times New Roman"/>
        </w:rPr>
        <w:t>, mientras que el piano introduce el motivo melódico con una expresión </w:t>
      </w:r>
      <w:r>
        <w:rPr>
          <w:rFonts w:ascii="Times New Roman" w:eastAsia="Times New Roman" w:hAnsi="Times New Roman" w:cs="Times New Roman"/>
          <w:i/>
          <w:iCs/>
        </w:rPr>
        <w:t>expresiva</w:t>
      </w:r>
      <w:r>
        <w:rPr>
          <w:rFonts w:ascii="Times New Roman" w:eastAsia="Times New Roman" w:hAnsi="Times New Roman" w:cs="Times New Roman"/>
        </w:rPr>
        <w:t>. El motivo principal para esta pieza es, de hecho, la cuarta variación melódica de “Atardecer”, que aquí se transforma y se convierte en el tema central para el desarrollo de la primera sección (Figura 19). En los compases 7 y 8, el violonchelo retoma este motivo, consolidando su presencia temática.</w:t>
      </w:r>
    </w:p>
    <w:p w14:paraId="71F442D8"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Figura 19</w:t>
      </w:r>
    </w:p>
    <w:p w14:paraId="42B5421F" w14:textId="77777777" w:rsidR="002360C3"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Noche</w:t>
      </w:r>
    </w:p>
    <w:p w14:paraId="3EB66E03" w14:textId="77777777" w:rsidR="002360C3" w:rsidRDefault="00000000">
      <w:pPr>
        <w:spacing w:line="276" w:lineRule="auto"/>
        <w:jc w:val="both"/>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3BAA5C29" wp14:editId="119E65CB">
            <wp:extent cx="5612130" cy="1816100"/>
            <wp:effectExtent l="0" t="0" r="0" b="0"/>
            <wp:docPr id="1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2"/>
                    <a:srcRect/>
                    <a:stretch>
                      <a:fillRect/>
                    </a:stretch>
                  </pic:blipFill>
                  <pic:spPr>
                    <a:xfrm>
                      <a:off x="0" y="0"/>
                      <a:ext cx="5612130" cy="1816100"/>
                    </a:xfrm>
                    <a:prstGeom prst="rect">
                      <a:avLst/>
                    </a:prstGeom>
                    <a:ln/>
                  </pic:spPr>
                </pic:pic>
              </a:graphicData>
            </a:graphic>
          </wp:inline>
        </w:drawing>
      </w:r>
    </w:p>
    <w:p w14:paraId="77A73F41"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66329C78" w14:textId="77777777" w:rsidR="002360C3" w:rsidRDefault="002360C3">
      <w:pPr>
        <w:spacing w:line="276" w:lineRule="auto"/>
        <w:jc w:val="both"/>
        <w:rPr>
          <w:rFonts w:ascii="Times New Roman" w:eastAsia="Times New Roman" w:hAnsi="Times New Roman" w:cs="Times New Roman"/>
        </w:rPr>
      </w:pPr>
    </w:p>
    <w:p w14:paraId="3EA98B2D"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El motivo melódico se somete a dos variaciones principales:</w:t>
      </w:r>
    </w:p>
    <w:p w14:paraId="094D0030" w14:textId="77777777" w:rsidR="002360C3" w:rsidRDefault="002360C3">
      <w:pPr>
        <w:spacing w:line="276" w:lineRule="auto"/>
        <w:jc w:val="both"/>
        <w:rPr>
          <w:rFonts w:ascii="Times New Roman" w:eastAsia="Times New Roman" w:hAnsi="Times New Roman" w:cs="Times New Roman"/>
        </w:rPr>
      </w:pPr>
    </w:p>
    <w:p w14:paraId="6A0CE5CF" w14:textId="77777777" w:rsidR="002360C3" w:rsidRDefault="00000000">
      <w:pPr>
        <w:numPr>
          <w:ilvl w:val="0"/>
          <w:numId w:val="9"/>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Primera variación</w:t>
      </w:r>
      <w:r>
        <w:rPr>
          <w:rFonts w:ascii="Times New Roman" w:eastAsia="Times New Roman" w:hAnsi="Times New Roman" w:cs="Times New Roman"/>
        </w:rPr>
        <w:t>: Se encuentra en el compás 5, interpretada por el violonchelo (Figura 20). Esta variación se modifica mediante una disminución rítmica en el cuarto tiempo del primer compás y una aumentación rítmica al inicio del segundo compás. El primer compás de esta variación se  traspuso una treceava baja respecto al motivo original, mientras que el segundo compás se transpone una catorceava baja, incorporando la aumentación rítmica ya mencionada y presentando las notas de los tiempos 3 y 4 en espejo. Estas transformaciones contribuyen a una sensación de densificación y gravitación sonora.</w:t>
      </w:r>
    </w:p>
    <w:p w14:paraId="0BD93522" w14:textId="77777777" w:rsidR="002360C3" w:rsidRDefault="002360C3">
      <w:pPr>
        <w:spacing w:line="276" w:lineRule="auto"/>
        <w:ind w:left="720"/>
        <w:jc w:val="both"/>
        <w:rPr>
          <w:rFonts w:ascii="Times New Roman" w:eastAsia="Times New Roman" w:hAnsi="Times New Roman" w:cs="Times New Roman"/>
        </w:rPr>
      </w:pPr>
    </w:p>
    <w:p w14:paraId="26D8014A"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20</w:t>
      </w:r>
    </w:p>
    <w:p w14:paraId="47B6469A" w14:textId="77777777" w:rsidR="002360C3" w:rsidRDefault="00000000">
      <w:pPr>
        <w:spacing w:line="276" w:lineRule="auto"/>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Noche</w:t>
      </w:r>
      <w:r>
        <w:rPr>
          <w:rFonts w:ascii="Times New Roman" w:eastAsia="Times New Roman" w:hAnsi="Times New Roman" w:cs="Times New Roman"/>
          <w:i/>
          <w:iCs/>
          <w:sz w:val="22"/>
          <w:szCs w:val="22"/>
        </w:rPr>
        <w:t>, primera variación</w:t>
      </w:r>
    </w:p>
    <w:p w14:paraId="36BF702A"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04B3C882" wp14:editId="001FD9B4">
            <wp:extent cx="5612130" cy="1231900"/>
            <wp:effectExtent l="0" t="0" r="0" b="0"/>
            <wp:docPr id="14"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33"/>
                    <a:srcRect/>
                    <a:stretch>
                      <a:fillRect/>
                    </a:stretch>
                  </pic:blipFill>
                  <pic:spPr>
                    <a:xfrm>
                      <a:off x="0" y="0"/>
                      <a:ext cx="5612130" cy="1231900"/>
                    </a:xfrm>
                    <a:prstGeom prst="rect">
                      <a:avLst/>
                    </a:prstGeom>
                    <a:ln/>
                  </pic:spPr>
                </pic:pic>
              </a:graphicData>
            </a:graphic>
          </wp:inline>
        </w:drawing>
      </w:r>
    </w:p>
    <w:p w14:paraId="693EDC83"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Elaboración propia.</w:t>
      </w:r>
    </w:p>
    <w:p w14:paraId="2B9E84F4" w14:textId="77777777" w:rsidR="002360C3" w:rsidRDefault="002360C3">
      <w:pPr>
        <w:spacing w:line="276" w:lineRule="auto"/>
        <w:jc w:val="both"/>
        <w:rPr>
          <w:rFonts w:ascii="Times New Roman" w:eastAsia="Times New Roman" w:hAnsi="Times New Roman" w:cs="Times New Roman"/>
        </w:rPr>
      </w:pPr>
    </w:p>
    <w:p w14:paraId="7B5F45AD" w14:textId="77777777" w:rsidR="002360C3" w:rsidRDefault="00000000">
      <w:pPr>
        <w:numPr>
          <w:ilvl w:val="0"/>
          <w:numId w:val="9"/>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lastRenderedPageBreak/>
        <w:t>Segunda variación</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 xml:space="preserve">Presente en el compás 9, interpretada por el violín en el modo </w:t>
      </w:r>
      <w:r>
        <w:rPr>
          <w:rFonts w:ascii="Times New Roman" w:eastAsia="Times New Roman" w:hAnsi="Times New Roman" w:cs="Times New Roman"/>
          <w:i/>
          <w:iCs/>
        </w:rPr>
        <w:t>sol</w:t>
      </w:r>
      <w:r>
        <w:rPr>
          <w:rFonts w:ascii="Times New Roman" w:eastAsia="Times New Roman" w:hAnsi="Times New Roman" w:cs="Times New Roman"/>
        </w:rPr>
        <w:t xml:space="preserve"> frigio (Figura 21). Esta variación se logra mediante la aumentación rítmica al duplicar el valor de la figura original, y manteniendo la figura rítmica del cuarto pulso como nota de aproximación a la siguiente aumentación. Esta misma variación es repetida por el violonchelo en el compás 13. La aumentación rítmica y el uso del modo frigio intensifican la sensación de lentitud y pesadez, propias de la noche.</w:t>
      </w:r>
    </w:p>
    <w:p w14:paraId="1100F12A" w14:textId="77777777" w:rsidR="002360C3" w:rsidRDefault="002360C3">
      <w:pPr>
        <w:spacing w:line="276" w:lineRule="auto"/>
        <w:ind w:left="720"/>
        <w:jc w:val="both"/>
        <w:rPr>
          <w:rFonts w:ascii="Times New Roman" w:eastAsia="Times New Roman" w:hAnsi="Times New Roman" w:cs="Times New Roman"/>
          <w:sz w:val="22"/>
          <w:szCs w:val="22"/>
        </w:rPr>
      </w:pPr>
    </w:p>
    <w:p w14:paraId="6C30A0B6" w14:textId="77777777" w:rsidR="002360C3" w:rsidRDefault="0000000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Figura 21</w:t>
      </w:r>
    </w:p>
    <w:p w14:paraId="209258C2" w14:textId="77777777" w:rsidR="002360C3" w:rsidRDefault="00000000">
      <w:pPr>
        <w:spacing w:line="276" w:lineRule="auto"/>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Motivo melódico principal </w:t>
      </w:r>
      <w:r>
        <w:rPr>
          <w:rFonts w:ascii="Times New Roman" w:eastAsia="Times New Roman" w:hAnsi="Times New Roman" w:cs="Times New Roman"/>
          <w:sz w:val="22"/>
          <w:szCs w:val="22"/>
        </w:rPr>
        <w:t>Noche</w:t>
      </w:r>
      <w:r>
        <w:rPr>
          <w:rFonts w:ascii="Times New Roman" w:eastAsia="Times New Roman" w:hAnsi="Times New Roman" w:cs="Times New Roman"/>
          <w:i/>
          <w:iCs/>
          <w:sz w:val="22"/>
          <w:szCs w:val="22"/>
        </w:rPr>
        <w:t>, segunda variación</w:t>
      </w:r>
    </w:p>
    <w:p w14:paraId="2963E0DF" w14:textId="77777777" w:rsidR="002360C3"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60EF83E3" wp14:editId="5FA38FD4">
            <wp:extent cx="4639628" cy="1193047"/>
            <wp:effectExtent l="0" t="0" r="0" b="0"/>
            <wp:docPr id="21"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34"/>
                    <a:srcRect/>
                    <a:stretch>
                      <a:fillRect/>
                    </a:stretch>
                  </pic:blipFill>
                  <pic:spPr>
                    <a:xfrm>
                      <a:off x="0" y="0"/>
                      <a:ext cx="4639628" cy="1193047"/>
                    </a:xfrm>
                    <a:prstGeom prst="rect">
                      <a:avLst/>
                    </a:prstGeom>
                    <a:ln/>
                  </pic:spPr>
                </pic:pic>
              </a:graphicData>
            </a:graphic>
          </wp:inline>
        </w:drawing>
      </w:r>
    </w:p>
    <w:p w14:paraId="77B68F0B" w14:textId="77777777" w:rsidR="002360C3" w:rsidRDefault="00000000">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rPr>
        <w:t>N</w:t>
      </w:r>
      <w:r>
        <w:rPr>
          <w:rFonts w:ascii="Times New Roman" w:eastAsia="Times New Roman" w:hAnsi="Times New Roman" w:cs="Times New Roman"/>
          <w:i/>
          <w:iCs/>
          <w:sz w:val="18"/>
          <w:szCs w:val="18"/>
        </w:rPr>
        <w:t>ota.</w:t>
      </w:r>
      <w:r>
        <w:rPr>
          <w:rFonts w:ascii="Times New Roman" w:eastAsia="Times New Roman" w:hAnsi="Times New Roman" w:cs="Times New Roman"/>
          <w:sz w:val="18"/>
          <w:szCs w:val="18"/>
        </w:rPr>
        <w:t xml:space="preserve"> Elaboración propia.</w:t>
      </w:r>
    </w:p>
    <w:p w14:paraId="319A9681" w14:textId="77777777" w:rsidR="002360C3" w:rsidRDefault="002360C3">
      <w:pPr>
        <w:spacing w:line="276" w:lineRule="auto"/>
        <w:jc w:val="both"/>
        <w:rPr>
          <w:rFonts w:ascii="Times New Roman" w:eastAsia="Times New Roman" w:hAnsi="Times New Roman" w:cs="Times New Roman"/>
        </w:rPr>
      </w:pPr>
    </w:p>
    <w:p w14:paraId="128C8FEF"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Tras las variaciones, la pieza presenta un puente en los compases 17 y 18, que prepara la transición a la siguiente sección. Este puente se caracteriza por un trino en </w:t>
      </w:r>
      <w:r>
        <w:rPr>
          <w:rFonts w:ascii="Times New Roman" w:eastAsia="Times New Roman" w:hAnsi="Times New Roman" w:cs="Times New Roman"/>
          <w:i/>
          <w:iCs/>
        </w:rPr>
        <w:t>crescendo</w:t>
      </w:r>
      <w:r>
        <w:rPr>
          <w:rFonts w:ascii="Times New Roman" w:eastAsia="Times New Roman" w:hAnsi="Times New Roman" w:cs="Times New Roman"/>
        </w:rPr>
        <w:t> ejecutado por el piano, con una dinámica que progresa de </w:t>
      </w:r>
      <w:r>
        <w:rPr>
          <w:rFonts w:ascii="Times New Roman" w:eastAsia="Times New Roman" w:hAnsi="Times New Roman" w:cs="Times New Roman"/>
          <w:i/>
          <w:iCs/>
        </w:rPr>
        <w:t>piano</w:t>
      </w:r>
      <w:r>
        <w:rPr>
          <w:rFonts w:ascii="Times New Roman" w:eastAsia="Times New Roman" w:hAnsi="Times New Roman" w:cs="Times New Roman"/>
        </w:rPr>
        <w:t> a </w:t>
      </w:r>
      <w:r>
        <w:rPr>
          <w:rFonts w:ascii="Times New Roman" w:eastAsia="Times New Roman" w:hAnsi="Times New Roman" w:cs="Times New Roman"/>
          <w:i/>
          <w:iCs/>
        </w:rPr>
        <w:t>forte</w:t>
      </w:r>
      <w:r>
        <w:rPr>
          <w:rFonts w:ascii="Times New Roman" w:eastAsia="Times New Roman" w:hAnsi="Times New Roman" w:cs="Times New Roman"/>
        </w:rPr>
        <w:t xml:space="preserve">, marcando la entrada al modo </w:t>
      </w:r>
      <w:r>
        <w:rPr>
          <w:rFonts w:ascii="Times New Roman" w:eastAsia="Times New Roman" w:hAnsi="Times New Roman" w:cs="Times New Roman"/>
          <w:i/>
          <w:iCs/>
        </w:rPr>
        <w:t>do</w:t>
      </w:r>
      <w:r>
        <w:rPr>
          <w:rFonts w:ascii="Times New Roman" w:eastAsia="Times New Roman" w:hAnsi="Times New Roman" w:cs="Times New Roman"/>
        </w:rPr>
        <w:t xml:space="preserve"> locrio.</w:t>
      </w:r>
    </w:p>
    <w:p w14:paraId="357A78B9"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A partir del compás 19, se utiliza el modo </w:t>
      </w:r>
      <w:r>
        <w:rPr>
          <w:rFonts w:ascii="Times New Roman" w:eastAsia="Times New Roman" w:hAnsi="Times New Roman" w:cs="Times New Roman"/>
          <w:i/>
          <w:iCs/>
        </w:rPr>
        <w:t>do</w:t>
      </w:r>
      <w:r>
        <w:rPr>
          <w:rFonts w:ascii="Times New Roman" w:eastAsia="Times New Roman" w:hAnsi="Times New Roman" w:cs="Times New Roman"/>
        </w:rPr>
        <w:t xml:space="preserve"> locrio para generar una sonoridad aún más oscura. Inicialmente, interpretado por el piano, este modo se caracteriza por una predominante estructura melódica descendente, buscando siempre los registros graves y oscuros del instrumento. Esta dirección melódica, combinada con la cualidad inherentemente disonante del locrio, refuerza la sensación de oscuridad y misterio.</w:t>
      </w:r>
    </w:p>
    <w:p w14:paraId="36763430"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Para acentuar la oscuridad y la tensión, el piano emplea un acompañamiento con acordes</w:t>
      </w:r>
      <w:r>
        <w:rPr>
          <w:rFonts w:ascii="Times New Roman" w:eastAsia="Times New Roman" w:hAnsi="Times New Roman" w:cs="Times New Roman"/>
          <w:b/>
          <w:bCs/>
        </w:rPr>
        <w:t xml:space="preserve"> </w:t>
      </w:r>
      <w:r>
        <w:rPr>
          <w:rFonts w:ascii="Times New Roman" w:eastAsia="Times New Roman" w:hAnsi="Times New Roman" w:cs="Times New Roman"/>
        </w:rPr>
        <w:t>en </w:t>
      </w:r>
      <w:r>
        <w:rPr>
          <w:rFonts w:ascii="Times New Roman" w:eastAsia="Times New Roman" w:hAnsi="Times New Roman" w:cs="Times New Roman"/>
          <w:i/>
          <w:iCs/>
        </w:rPr>
        <w:t>cluster</w:t>
      </w:r>
      <w:r>
        <w:rPr>
          <w:rFonts w:ascii="Times New Roman" w:eastAsia="Times New Roman" w:hAnsi="Times New Roman" w:cs="Times New Roman"/>
        </w:rPr>
        <w:t>. Un ejemplo de esto se observa entre los compases 24 y 26, y nuevamente en los compases 39 y 40. En estos pasajes, el registro agudo del piano se utiliza para los </w:t>
      </w:r>
      <w:r>
        <w:rPr>
          <w:rFonts w:ascii="Times New Roman" w:eastAsia="Times New Roman" w:hAnsi="Times New Roman" w:cs="Times New Roman"/>
          <w:i/>
          <w:iCs/>
        </w:rPr>
        <w:t>clusters</w:t>
      </w:r>
      <w:r>
        <w:rPr>
          <w:rFonts w:ascii="Times New Roman" w:eastAsia="Times New Roman" w:hAnsi="Times New Roman" w:cs="Times New Roman"/>
        </w:rPr>
        <w:t xml:space="preserve">, mientras que la mano izquierda (en clave de </w:t>
      </w:r>
      <w:r>
        <w:rPr>
          <w:rFonts w:ascii="Times New Roman" w:eastAsia="Times New Roman" w:hAnsi="Times New Roman" w:cs="Times New Roman"/>
          <w:i/>
          <w:iCs/>
        </w:rPr>
        <w:t>fa</w:t>
      </w:r>
      <w:r>
        <w:rPr>
          <w:rFonts w:ascii="Times New Roman" w:eastAsia="Times New Roman" w:hAnsi="Times New Roman" w:cs="Times New Roman"/>
        </w:rPr>
        <w:t>) toca intervalos de sexta y séptima, generando un contraste sonoro que añade disonancia y profundidad.</w:t>
      </w:r>
    </w:p>
    <w:p w14:paraId="6FBCED40"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El desarrollo rítmico</w:t>
      </w:r>
      <w:r>
        <w:rPr>
          <w:rFonts w:ascii="Times New Roman" w:eastAsia="Times New Roman" w:hAnsi="Times New Roman" w:cs="Times New Roman"/>
          <w:i/>
          <w:iCs/>
          <w:sz w:val="20"/>
          <w:szCs w:val="20"/>
        </w:rPr>
        <w:t>–</w:t>
      </w:r>
      <w:r>
        <w:rPr>
          <w:rFonts w:ascii="Times New Roman" w:eastAsia="Times New Roman" w:hAnsi="Times New Roman" w:cs="Times New Roman"/>
        </w:rPr>
        <w:t>melódico a partir del compás 35 se basa en el modo </w:t>
      </w:r>
      <w:r>
        <w:rPr>
          <w:rFonts w:ascii="Times New Roman" w:eastAsia="Times New Roman" w:hAnsi="Times New Roman" w:cs="Times New Roman"/>
          <w:i/>
          <w:iCs/>
        </w:rPr>
        <w:t>do</w:t>
      </w:r>
      <w:r>
        <w:rPr>
          <w:rFonts w:ascii="Times New Roman" w:eastAsia="Times New Roman" w:hAnsi="Times New Roman" w:cs="Times New Roman"/>
        </w:rPr>
        <w:t xml:space="preserve"> locrio (bemol 4, doble bemol 7). Este progreso melódico se caracteriza por una aumentación rítmica progresiva (negras, blancas y redondas), buscando constantemente los registros </w:t>
      </w:r>
      <w:r>
        <w:rPr>
          <w:rFonts w:ascii="Times New Roman" w:eastAsia="Times New Roman" w:hAnsi="Times New Roman" w:cs="Times New Roman"/>
        </w:rPr>
        <w:lastRenderedPageBreak/>
        <w:t>graves de cada instrumento. Esta combinación de ritmo lento y registros bajos culmina en una sensación sonora profunda y sombría que define el final de la pieza.</w:t>
      </w:r>
    </w:p>
    <w:p w14:paraId="3DE6ABF5"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Los elementos de interpretación y expresivos de </w:t>
      </w:r>
      <w:r>
        <w:rPr>
          <w:rFonts w:ascii="Times New Roman" w:eastAsia="Times New Roman" w:hAnsi="Times New Roman" w:cs="Times New Roman"/>
          <w:i/>
          <w:iCs/>
        </w:rPr>
        <w:t>Noche</w:t>
      </w:r>
      <w:r>
        <w:rPr>
          <w:rFonts w:ascii="Times New Roman" w:eastAsia="Times New Roman" w:hAnsi="Times New Roman" w:cs="Times New Roman"/>
        </w:rPr>
        <w:t> incluyen </w:t>
      </w:r>
      <w:r>
        <w:rPr>
          <w:rFonts w:ascii="Times New Roman" w:eastAsia="Times New Roman" w:hAnsi="Times New Roman" w:cs="Times New Roman"/>
          <w:i/>
          <w:iCs/>
        </w:rPr>
        <w:t>crescendo</w:t>
      </w:r>
      <w:r>
        <w:rPr>
          <w:rFonts w:ascii="Times New Roman" w:eastAsia="Times New Roman" w:hAnsi="Times New Roman" w:cs="Times New Roman"/>
        </w:rPr>
        <w:t>, </w:t>
      </w:r>
      <w:r>
        <w:rPr>
          <w:rFonts w:ascii="Times New Roman" w:eastAsia="Times New Roman" w:hAnsi="Times New Roman" w:cs="Times New Roman"/>
          <w:i/>
          <w:iCs/>
        </w:rPr>
        <w:t>decrescendo</w:t>
      </w:r>
      <w:r>
        <w:rPr>
          <w:rFonts w:ascii="Times New Roman" w:eastAsia="Times New Roman" w:hAnsi="Times New Roman" w:cs="Times New Roman"/>
        </w:rPr>
        <w:t>, </w:t>
      </w:r>
      <w:r>
        <w:rPr>
          <w:rFonts w:ascii="Times New Roman" w:eastAsia="Times New Roman" w:hAnsi="Times New Roman" w:cs="Times New Roman"/>
          <w:i/>
          <w:iCs/>
        </w:rPr>
        <w:t>staccato</w:t>
      </w:r>
      <w:r>
        <w:rPr>
          <w:rFonts w:ascii="Times New Roman" w:eastAsia="Times New Roman" w:hAnsi="Times New Roman" w:cs="Times New Roman"/>
        </w:rPr>
        <w:t>, </w:t>
      </w:r>
      <w:r>
        <w:rPr>
          <w:rFonts w:ascii="Times New Roman" w:eastAsia="Times New Roman" w:hAnsi="Times New Roman" w:cs="Times New Roman"/>
          <w:i/>
          <w:iCs/>
        </w:rPr>
        <w:t>sforzando</w:t>
      </w:r>
      <w:r>
        <w:rPr>
          <w:rFonts w:ascii="Times New Roman" w:eastAsia="Times New Roman" w:hAnsi="Times New Roman" w:cs="Times New Roman"/>
        </w:rPr>
        <w:t>, acentos, ligaduras de expresión y dinámicas que abarcan desde el </w:t>
      </w:r>
      <w:r>
        <w:rPr>
          <w:rFonts w:ascii="Times New Roman" w:eastAsia="Times New Roman" w:hAnsi="Times New Roman" w:cs="Times New Roman"/>
          <w:i/>
          <w:iCs/>
        </w:rPr>
        <w:t>piano</w:t>
      </w:r>
      <w:r>
        <w:rPr>
          <w:rFonts w:ascii="Times New Roman" w:eastAsia="Times New Roman" w:hAnsi="Times New Roman" w:cs="Times New Roman"/>
        </w:rPr>
        <w:t>  hasta el </w:t>
      </w:r>
      <w:r>
        <w:rPr>
          <w:rFonts w:ascii="Times New Roman" w:eastAsia="Times New Roman" w:hAnsi="Times New Roman" w:cs="Times New Roman"/>
          <w:i/>
          <w:iCs/>
        </w:rPr>
        <w:t>forte</w:t>
      </w:r>
      <w:r>
        <w:rPr>
          <w:rFonts w:ascii="Times New Roman" w:eastAsia="Times New Roman" w:hAnsi="Times New Roman" w:cs="Times New Roman"/>
        </w:rPr>
        <w:t>, permitiendo un control preciso sobre la intensidad y el carácter de la oscuridad.</w:t>
      </w:r>
    </w:p>
    <w:p w14:paraId="555FABA5"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La sección A de “Noche” presenta el motivo melódico principal y la primera variación en el modo </w:t>
      </w:r>
      <w:r>
        <w:rPr>
          <w:rFonts w:ascii="Times New Roman" w:eastAsia="Times New Roman" w:hAnsi="Times New Roman" w:cs="Times New Roman"/>
          <w:i/>
          <w:iCs/>
        </w:rPr>
        <w:t>fa</w:t>
      </w:r>
      <w:r>
        <w:rPr>
          <w:rFonts w:ascii="Times New Roman" w:eastAsia="Times New Roman" w:hAnsi="Times New Roman" w:cs="Times New Roman"/>
        </w:rPr>
        <w:t xml:space="preserve"> frigio en sus primeros 8 compases, interpretados por el piano y el violonchelo. En el compás 9, la segunda variación es introducida por el violín y el violonchelo en el modo </w:t>
      </w:r>
      <w:r>
        <w:rPr>
          <w:rFonts w:ascii="Times New Roman" w:eastAsia="Times New Roman" w:hAnsi="Times New Roman" w:cs="Times New Roman"/>
          <w:i/>
          <w:iCs/>
        </w:rPr>
        <w:t>sol</w:t>
      </w:r>
      <w:r>
        <w:rPr>
          <w:rFonts w:ascii="Times New Roman" w:eastAsia="Times New Roman" w:hAnsi="Times New Roman" w:cs="Times New Roman"/>
        </w:rPr>
        <w:t xml:space="preserve"> frigio, seguida por el puente que sirve de transición a la siguiente sección. El desarrollo armónico en el modo </w:t>
      </w:r>
      <w:r>
        <w:rPr>
          <w:rFonts w:ascii="Times New Roman" w:eastAsia="Times New Roman" w:hAnsi="Times New Roman" w:cs="Times New Roman"/>
          <w:i/>
          <w:iCs/>
        </w:rPr>
        <w:t>fa</w:t>
      </w:r>
      <w:r>
        <w:rPr>
          <w:rFonts w:ascii="Times New Roman" w:eastAsia="Times New Roman" w:hAnsi="Times New Roman" w:cs="Times New Roman"/>
        </w:rPr>
        <w:t xml:space="preserve"> frigio utiliza acordes de </w:t>
      </w:r>
      <w:r>
        <w:rPr>
          <w:rFonts w:ascii="Times New Roman" w:eastAsia="Times New Roman" w:hAnsi="Times New Roman" w:cs="Times New Roman"/>
          <w:i/>
          <w:iCs/>
        </w:rPr>
        <w:t xml:space="preserve">fa </w:t>
      </w:r>
      <w:r>
        <w:rPr>
          <w:rFonts w:ascii="Times New Roman" w:eastAsia="Times New Roman" w:hAnsi="Times New Roman" w:cs="Times New Roman"/>
        </w:rPr>
        <w:t xml:space="preserve">menor, </w:t>
      </w:r>
      <w:r>
        <w:rPr>
          <w:rFonts w:ascii="Times New Roman" w:eastAsia="Times New Roman" w:hAnsi="Times New Roman" w:cs="Times New Roman"/>
          <w:i/>
          <w:iCs/>
        </w:rPr>
        <w:t xml:space="preserve">si </w:t>
      </w:r>
      <w:r>
        <w:rPr>
          <w:rFonts w:ascii="Times New Roman" w:eastAsia="Times New Roman" w:hAnsi="Times New Roman" w:cs="Times New Roman"/>
        </w:rPr>
        <w:t xml:space="preserve">bemol menor y </w:t>
      </w:r>
      <w:r>
        <w:rPr>
          <w:rFonts w:ascii="Times New Roman" w:eastAsia="Times New Roman" w:hAnsi="Times New Roman" w:cs="Times New Roman"/>
          <w:i/>
          <w:iCs/>
        </w:rPr>
        <w:t>sol</w:t>
      </w:r>
      <w:r>
        <w:rPr>
          <w:rFonts w:ascii="Times New Roman" w:eastAsia="Times New Roman" w:hAnsi="Times New Roman" w:cs="Times New Roman"/>
        </w:rPr>
        <w:t xml:space="preserve"> bemol mayor, mientras que el modo </w:t>
      </w:r>
      <w:r>
        <w:rPr>
          <w:rFonts w:ascii="Times New Roman" w:eastAsia="Times New Roman" w:hAnsi="Times New Roman" w:cs="Times New Roman"/>
          <w:i/>
          <w:iCs/>
        </w:rPr>
        <w:t>sol</w:t>
      </w:r>
      <w:r>
        <w:rPr>
          <w:rFonts w:ascii="Times New Roman" w:eastAsia="Times New Roman" w:hAnsi="Times New Roman" w:cs="Times New Roman"/>
        </w:rPr>
        <w:t xml:space="preserve"> frigio se apoya en acordes de </w:t>
      </w:r>
      <w:r>
        <w:rPr>
          <w:rFonts w:ascii="Times New Roman" w:eastAsia="Times New Roman" w:hAnsi="Times New Roman" w:cs="Times New Roman"/>
          <w:i/>
          <w:iCs/>
        </w:rPr>
        <w:t xml:space="preserve">sol </w:t>
      </w:r>
      <w:r>
        <w:rPr>
          <w:rFonts w:ascii="Times New Roman" w:eastAsia="Times New Roman" w:hAnsi="Times New Roman" w:cs="Times New Roman"/>
        </w:rPr>
        <w:t xml:space="preserve">menor, </w:t>
      </w:r>
      <w:r>
        <w:rPr>
          <w:rFonts w:ascii="Times New Roman" w:eastAsia="Times New Roman" w:hAnsi="Times New Roman" w:cs="Times New Roman"/>
          <w:i/>
          <w:iCs/>
        </w:rPr>
        <w:t xml:space="preserve">fa </w:t>
      </w:r>
      <w:r>
        <w:rPr>
          <w:rFonts w:ascii="Times New Roman" w:eastAsia="Times New Roman" w:hAnsi="Times New Roman" w:cs="Times New Roman"/>
        </w:rPr>
        <w:t xml:space="preserve">menor y </w:t>
      </w:r>
      <w:r>
        <w:rPr>
          <w:rFonts w:ascii="Times New Roman" w:eastAsia="Times New Roman" w:hAnsi="Times New Roman" w:cs="Times New Roman"/>
          <w:i/>
          <w:iCs/>
        </w:rPr>
        <w:t xml:space="preserve">do </w:t>
      </w:r>
      <w:r>
        <w:rPr>
          <w:rFonts w:ascii="Times New Roman" w:eastAsia="Times New Roman" w:hAnsi="Times New Roman" w:cs="Times New Roman"/>
        </w:rPr>
        <w:t>menor .</w:t>
      </w:r>
    </w:p>
    <w:p w14:paraId="5248CA62"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La sección B</w:t>
      </w:r>
      <w:r>
        <w:rPr>
          <w:rFonts w:ascii="Times New Roman" w:eastAsia="Times New Roman" w:hAnsi="Times New Roman" w:cs="Times New Roman"/>
          <w:b/>
          <w:bCs/>
        </w:rPr>
        <w:t> </w:t>
      </w:r>
      <w:r>
        <w:rPr>
          <w:rFonts w:ascii="Times New Roman" w:eastAsia="Times New Roman" w:hAnsi="Times New Roman" w:cs="Times New Roman"/>
        </w:rPr>
        <w:t xml:space="preserve">se desarrolla armónicamente en el modo </w:t>
      </w:r>
      <w:r>
        <w:rPr>
          <w:rFonts w:ascii="Times New Roman" w:eastAsia="Times New Roman" w:hAnsi="Times New Roman" w:cs="Times New Roman"/>
          <w:i/>
          <w:iCs/>
        </w:rPr>
        <w:t>do</w:t>
      </w:r>
      <w:r>
        <w:rPr>
          <w:rFonts w:ascii="Times New Roman" w:eastAsia="Times New Roman" w:hAnsi="Times New Roman" w:cs="Times New Roman"/>
        </w:rPr>
        <w:t xml:space="preserve"> locrio y </w:t>
      </w:r>
      <w:r>
        <w:rPr>
          <w:rFonts w:ascii="Times New Roman" w:eastAsia="Times New Roman" w:hAnsi="Times New Roman" w:cs="Times New Roman"/>
          <w:i/>
          <w:iCs/>
        </w:rPr>
        <w:t>do</w:t>
      </w:r>
      <w:r>
        <w:rPr>
          <w:rFonts w:ascii="Times New Roman" w:eastAsia="Times New Roman" w:hAnsi="Times New Roman" w:cs="Times New Roman"/>
        </w:rPr>
        <w:t xml:space="preserve"> locrio (bemol 4, doble bemol 7). Los tres instrumentos comparten un papel predominante, con la melodía pasando entre ellos y manteniendo un sentido melódico descendente que refuerza la sonoridad oscura y la sensación de gravedad. Este modo, por su naturaleza disonante y su función de cierre, no se asocia con una secuencia de acordes específica, permitiendo una mayor libertad en la armonía y enfatizando la cualidad tonal abstracta de la oscuridad.</w:t>
      </w:r>
    </w:p>
    <w:p w14:paraId="4D88EB97" w14:textId="77777777" w:rsidR="002360C3" w:rsidRDefault="002360C3">
      <w:pPr>
        <w:spacing w:line="276" w:lineRule="auto"/>
        <w:ind w:firstLine="720"/>
        <w:jc w:val="both"/>
        <w:rPr>
          <w:rFonts w:ascii="Times New Roman" w:eastAsia="Times New Roman" w:hAnsi="Times New Roman" w:cs="Times New Roman"/>
        </w:rPr>
      </w:pPr>
    </w:p>
    <w:p w14:paraId="18C2DF77" w14:textId="77777777" w:rsidR="002360C3" w:rsidRDefault="00000000">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Discusión y Conclusiones</w:t>
      </w:r>
    </w:p>
    <w:p w14:paraId="0703A962"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La presente investigación</w:t>
      </w:r>
      <w:r>
        <w:rPr>
          <w:rFonts w:ascii="Times New Roman" w:eastAsia="Times New Roman" w:hAnsi="Times New Roman" w:cs="Times New Roman"/>
          <w:i/>
          <w:iCs/>
          <w:sz w:val="20"/>
          <w:szCs w:val="20"/>
        </w:rPr>
        <w:t>–</w:t>
      </w:r>
      <w:r>
        <w:rPr>
          <w:rFonts w:ascii="Times New Roman" w:eastAsia="Times New Roman" w:hAnsi="Times New Roman" w:cs="Times New Roman"/>
        </w:rPr>
        <w:t>creación, plasmada en </w:t>
      </w:r>
      <w:r>
        <w:rPr>
          <w:rFonts w:ascii="Times New Roman" w:eastAsia="Times New Roman" w:hAnsi="Times New Roman" w:cs="Times New Roman"/>
          <w:i/>
          <w:iCs/>
        </w:rPr>
        <w:t>El transcurso de un día soleado en cinco piezas modales</w:t>
      </w:r>
      <w:r>
        <w:rPr>
          <w:rFonts w:ascii="Times New Roman" w:eastAsia="Times New Roman" w:hAnsi="Times New Roman" w:cs="Times New Roman"/>
        </w:rPr>
        <w:t>, ha logrado exitosamente su objetivo principal: la composición de una obra musical que establece una correlación efectiva entre la sonoridad y la sensación visual de brillo y oscuridad. Las cinco piezas: “Amanecer”, “Mañana”, “Mediodía”, “Atardecer” y “Noche”, demuestran cómo la selección y manipulación de los modos del sistema modal diatónico, junto con una cuidadosa aplicación de recursos compositivos, evocan de manera convincente el degradado lumínico del ciclo diurno.</w:t>
      </w:r>
    </w:p>
    <w:p w14:paraId="3285BD37"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La centralidad de los modos en este proceso fue fundamental. La organización propuesta por Persichetti (1995) y Miller (1996), que clasifica los modos desde el lidio (el más brillante) hasta el locrio (el más sombrío) basándose en la adición o sustracción de bemoles/sostenidos, sirvió como un valioso punto de partida. Esta sistematización permitió disponer los modos en una secuencia lógica que sugiere la percepción lumínica deseada, </w:t>
      </w:r>
      <w:r>
        <w:rPr>
          <w:rFonts w:ascii="Times New Roman" w:eastAsia="Times New Roman" w:hAnsi="Times New Roman" w:cs="Times New Roman"/>
        </w:rPr>
        <w:lastRenderedPageBreak/>
        <w:t>desde la penumbra del alba hasta la oscuridad total de la noche, pasando por el cenit del brillo. La obra es un testimonio de cómo la elección adecuada de los modos puede, por sí sola, influir significativamente en la cualidad tímbrica y emocional percibida.</w:t>
      </w:r>
    </w:p>
    <w:p w14:paraId="4FB8ABB0"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Uno de los aportes de este trabajo consiste en reinterpretar compositivamente la gradación de brillo</w:t>
      </w:r>
      <w:r>
        <w:rPr>
          <w:rFonts w:ascii="Times New Roman" w:eastAsia="Times New Roman" w:hAnsi="Times New Roman" w:cs="Times New Roman"/>
          <w:i/>
          <w:iCs/>
          <w:sz w:val="20"/>
          <w:szCs w:val="20"/>
        </w:rPr>
        <w:t>–</w:t>
      </w:r>
      <w:r>
        <w:rPr>
          <w:rFonts w:ascii="Times New Roman" w:eastAsia="Times New Roman" w:hAnsi="Times New Roman" w:cs="Times New Roman"/>
        </w:rPr>
        <w:t xml:space="preserve">oscuridad propuesta por Persichetti y Miller. En sus planteamientos, los bemoles y sostenidos permiten representar las modificaciones de los grados modales respecto de un centro común, pero su cantidad en la armadura no determina por sí misma el carácter del modo. En consecuencia, que el </w:t>
      </w:r>
      <w:r>
        <w:rPr>
          <w:rFonts w:ascii="Times New Roman" w:eastAsia="Times New Roman" w:hAnsi="Times New Roman" w:cs="Times New Roman"/>
          <w:i/>
          <w:iCs/>
        </w:rPr>
        <w:t>si</w:t>
      </w:r>
      <w:r>
        <w:rPr>
          <w:rFonts w:ascii="Times New Roman" w:eastAsia="Times New Roman" w:hAnsi="Times New Roman" w:cs="Times New Roman"/>
        </w:rPr>
        <w:t xml:space="preserve"> locrio no presente alteraciones, el </w:t>
      </w:r>
      <w:r>
        <w:rPr>
          <w:rFonts w:ascii="Times New Roman" w:eastAsia="Times New Roman" w:hAnsi="Times New Roman" w:cs="Times New Roman"/>
          <w:i/>
          <w:iCs/>
        </w:rPr>
        <w:t>re</w:t>
      </w:r>
      <w:r>
        <w:rPr>
          <w:rFonts w:ascii="Times New Roman" w:eastAsia="Times New Roman" w:hAnsi="Times New Roman" w:cs="Times New Roman"/>
        </w:rPr>
        <w:t xml:space="preserve"> sostenido locrio contenga sostenidos y el </w:t>
      </w:r>
      <w:r>
        <w:rPr>
          <w:rFonts w:ascii="Times New Roman" w:eastAsia="Times New Roman" w:hAnsi="Times New Roman" w:cs="Times New Roman"/>
          <w:i/>
          <w:iCs/>
        </w:rPr>
        <w:t>re</w:t>
      </w:r>
      <w:r>
        <w:rPr>
          <w:rFonts w:ascii="Times New Roman" w:eastAsia="Times New Roman" w:hAnsi="Times New Roman" w:cs="Times New Roman"/>
        </w:rPr>
        <w:t xml:space="preserve"> bemol lidio bemoles no constituye una discrepancia con la teoría, sino que evidencia que la posición de cada modo dentro de la gradación se conserva al transponer su estructura interválica.</w:t>
      </w:r>
    </w:p>
    <w:p w14:paraId="7A9F6E6D"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A partir de esta premisa, el proceso compositivo centró la atención en la organización de los intervalos y, particularmente, en la posición de los grados característicos respecto de la tónica. Al comparar los modos sobre un mismo centro, el descenso sucesivo de determinados grados conduce hacia el extremo oscuro de la gradación, mientras que su elevación conduce hacia el extremo brillante. Esta relación no debe entenderse como una equivalencia absoluta entre intervalos pequeños y oscuridad o entre intervalos amplios y brillo, pues todos los modos diatónicos contienen semitonos y relaciones de tritono, y su percepción también depende del registro, la disposición de las voces, el timbre, la dinámica, el ritmo armónico y la melodía. El aporte del trabajo radica, por tanto, en aplicar y explorar estos principios como criterio para organizar el recorrido modal y expresivo de la obra. Metodológicamente, esta experiencia sugiere comparar los modos sobre un mismo centro y en condiciones musicales semejantes, en lugar de inferir su cualidad a partir del número de alteraciones de la armadura.</w:t>
      </w:r>
    </w:p>
    <w:p w14:paraId="515C5697"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El análisis global de la obra, apoyado por las visualizaciones de densidad, registros tímbricos y dinámicas (consulte el trabajo completo para más información), refuerza la coherencia de la propuesta. La curva ascendente de densidad en “Medio Día” se corresponde con el clímax lumínico, mientras que el predominio de notas en registros agudos en “Medio Día” y “Atardecer” confirma la búsqueda de mayor luminosidad. Las dinámicas, aunque mayormente entre piano y mezzoforte, muestran aumentos estratégicos hacia el forte en “Mañana” y “Noche”, lo que en este último caso se utiliza para intensificar la sensación de tensión y culminación de la oscuridad, en lugar de brillo. La menor variación instrumental en “Amanecer” y “Noche” también apoya la idea de estados más uniformes de penumbra y oscuridad, respectivamente.</w:t>
      </w:r>
    </w:p>
    <w:p w14:paraId="5E72B698"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 xml:space="preserve">Las técnicas compositivas empleadas </w:t>
      </w:r>
      <w:r>
        <w:rPr>
          <w:rFonts w:ascii="Times New Roman" w:eastAsia="Times New Roman" w:hAnsi="Times New Roman" w:cs="Times New Roman"/>
          <w:color w:val="1A1C1E"/>
          <w:sz w:val="20"/>
          <w:szCs w:val="20"/>
        </w:rPr>
        <w:t>—</w:t>
      </w:r>
      <w:r>
        <w:rPr>
          <w:rFonts w:ascii="Times New Roman" w:eastAsia="Times New Roman" w:hAnsi="Times New Roman" w:cs="Times New Roman"/>
        </w:rPr>
        <w:t>desde el desarrollo de motivos melódicos mediante inversiones, cambios de registro, contrapunto en espejo e imitación, hasta el uso de eliminación, aumentación y disminución rítmica, y la manipulación de dinámicas y materiales armónicos</w:t>
      </w:r>
      <w:r>
        <w:rPr>
          <w:rFonts w:ascii="Times New Roman" w:eastAsia="Times New Roman" w:hAnsi="Times New Roman" w:cs="Times New Roman"/>
          <w:color w:val="1A1C1E"/>
          <w:sz w:val="20"/>
          <w:szCs w:val="20"/>
        </w:rPr>
        <w:t>—</w:t>
      </w:r>
      <w:r>
        <w:rPr>
          <w:rFonts w:ascii="Times New Roman" w:eastAsia="Times New Roman" w:hAnsi="Times New Roman" w:cs="Times New Roman"/>
        </w:rPr>
        <w:t xml:space="preserve"> demostraron ser herramientas altamente efectivas para modelar la percepción de brillo y oscuridad. La versatilidad del trío de violín, violonchelo y piano permitió una rica exploración tímbrica, donde cada instrumento contribuyó a la atmósfera general, ya sea a través de obstinatos, acompañamientos en </w:t>
      </w:r>
      <w:r>
        <w:rPr>
          <w:rFonts w:ascii="Times New Roman" w:eastAsia="Times New Roman" w:hAnsi="Times New Roman" w:cs="Times New Roman"/>
          <w:i/>
          <w:iCs/>
        </w:rPr>
        <w:t>cluster</w:t>
      </w:r>
      <w:r>
        <w:rPr>
          <w:rFonts w:ascii="Times New Roman" w:eastAsia="Times New Roman" w:hAnsi="Times New Roman" w:cs="Times New Roman"/>
        </w:rPr>
        <w:t> o líneas melódicas destacadas en registros específicos.</w:t>
      </w:r>
    </w:p>
    <w:p w14:paraId="71D3D9F4" w14:textId="77777777" w:rsidR="002360C3"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Este trabajo muestra las posibilidades de traducir sensaciones visuales al lenguaje musical mediante recursos modales y aporta una estrategia compositiva aplicable a la creación contemporánea. Al articular referentes visuales con decisiones sonoras, amplía las posibilidades expresivas de la obra y ofrece un marco para explorar las relaciones entre distintas modalidades sensoriales.</w:t>
      </w:r>
    </w:p>
    <w:p w14:paraId="675D65B1" w14:textId="77777777" w:rsidR="002360C3" w:rsidRDefault="002360C3">
      <w:pPr>
        <w:spacing w:line="276" w:lineRule="auto"/>
        <w:ind w:firstLine="720"/>
        <w:jc w:val="both"/>
        <w:rPr>
          <w:rFonts w:ascii="Times New Roman" w:eastAsia="Times New Roman" w:hAnsi="Times New Roman" w:cs="Times New Roman"/>
          <w:b/>
          <w:bCs/>
        </w:rPr>
      </w:pPr>
    </w:p>
    <w:p w14:paraId="0513217A" w14:textId="77777777" w:rsidR="002360C3" w:rsidRDefault="00000000">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Sugerencias para futuras investigaciones y aplicaciones</w:t>
      </w:r>
    </w:p>
    <w:p w14:paraId="49F8078F" w14:textId="77777777" w:rsidR="002360C3" w:rsidRDefault="002360C3">
      <w:pPr>
        <w:spacing w:line="276" w:lineRule="auto"/>
        <w:jc w:val="both"/>
        <w:rPr>
          <w:rFonts w:ascii="Times New Roman" w:eastAsia="Times New Roman" w:hAnsi="Times New Roman" w:cs="Times New Roman"/>
          <w:b/>
          <w:bCs/>
          <w:i/>
          <w:iCs/>
        </w:rPr>
      </w:pPr>
    </w:p>
    <w:p w14:paraId="4B46C24E" w14:textId="77777777" w:rsidR="002360C3" w:rsidRDefault="00000000">
      <w:pPr>
        <w:numPr>
          <w:ilvl w:val="0"/>
          <w:numId w:val="1"/>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Exploración de la amplitud interválica</w:t>
      </w:r>
      <w:r>
        <w:rPr>
          <w:rFonts w:ascii="Times New Roman" w:eastAsia="Times New Roman" w:hAnsi="Times New Roman" w:cs="Times New Roman"/>
        </w:rPr>
        <w:t>: Se recomienda que futuras composiciones que busquen replicar el concepto de brillo</w:t>
      </w:r>
      <w:r>
        <w:rPr>
          <w:rFonts w:ascii="Times New Roman" w:eastAsia="Times New Roman" w:hAnsi="Times New Roman" w:cs="Times New Roman"/>
          <w:i/>
          <w:iCs/>
          <w:sz w:val="20"/>
          <w:szCs w:val="20"/>
        </w:rPr>
        <w:t>–</w:t>
      </w:r>
      <w:r>
        <w:rPr>
          <w:rFonts w:ascii="Times New Roman" w:eastAsia="Times New Roman" w:hAnsi="Times New Roman" w:cs="Times New Roman"/>
        </w:rPr>
        <w:t>oscuridad se enfoquen prioritariamente en la amplitud de los intervalos y su disposición dentro del modo, más allá de la mera contabilidad de bemoles o sostenidos. Esto permitiría una exploración más matizada y precisa de las cualidades lumínicas de cada modo.</w:t>
      </w:r>
    </w:p>
    <w:p w14:paraId="7498FD81" w14:textId="77777777" w:rsidR="002360C3" w:rsidRDefault="00000000">
      <w:pPr>
        <w:numPr>
          <w:ilvl w:val="0"/>
          <w:numId w:val="1"/>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Modelado computacional</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 xml:space="preserve">La utilización de software como </w:t>
      </w:r>
      <w:r>
        <w:rPr>
          <w:rFonts w:ascii="Times New Roman" w:eastAsia="Times New Roman" w:hAnsi="Times New Roman" w:cs="Times New Roman"/>
          <w:i/>
          <w:iCs/>
        </w:rPr>
        <w:t xml:space="preserve">Finale music, Dorico </w:t>
      </w:r>
      <w:r>
        <w:rPr>
          <w:rFonts w:ascii="Times New Roman" w:eastAsia="Times New Roman" w:hAnsi="Times New Roman" w:cs="Times New Roman"/>
        </w:rPr>
        <w:t xml:space="preserve">o </w:t>
      </w:r>
      <w:r>
        <w:rPr>
          <w:rFonts w:ascii="Times New Roman" w:eastAsia="Times New Roman" w:hAnsi="Times New Roman" w:cs="Times New Roman"/>
          <w:i/>
          <w:iCs/>
        </w:rPr>
        <w:t>Sibelius.</w:t>
      </w:r>
      <w:r>
        <w:rPr>
          <w:rFonts w:ascii="Times New Roman" w:eastAsia="Times New Roman" w:hAnsi="Times New Roman" w:cs="Times New Roman"/>
        </w:rPr>
        <w:t xml:space="preserve"> </w:t>
      </w:r>
    </w:p>
    <w:p w14:paraId="2C422F88" w14:textId="77777777" w:rsidR="002360C3" w:rsidRDefault="00000000">
      <w:pPr>
        <w:numPr>
          <w:ilvl w:val="0"/>
          <w:numId w:val="1"/>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Aplicaciones transdisciplinarias</w:t>
      </w:r>
      <w:r>
        <w:rPr>
          <w:rFonts w:ascii="Times New Roman" w:eastAsia="Times New Roman" w:hAnsi="Times New Roman" w:cs="Times New Roman"/>
        </w:rPr>
        <w:t>:</w:t>
      </w:r>
      <w:r>
        <w:rPr>
          <w:rFonts w:ascii="Times New Roman" w:eastAsia="Times New Roman" w:hAnsi="Times New Roman" w:cs="Times New Roman"/>
          <w:b/>
          <w:bCs/>
          <w:i/>
          <w:iCs/>
        </w:rPr>
        <w:t> </w:t>
      </w:r>
      <w:r>
        <w:rPr>
          <w:rFonts w:ascii="Times New Roman" w:eastAsia="Times New Roman" w:hAnsi="Times New Roman" w:cs="Times New Roman"/>
        </w:rPr>
        <w:t>La clara relación establecida entre sonoridad y percepción lumínica tiene un vasto potencial en campos como:</w:t>
      </w:r>
    </w:p>
    <w:p w14:paraId="02263D04" w14:textId="77777777" w:rsidR="002360C3" w:rsidRDefault="002360C3">
      <w:pPr>
        <w:spacing w:line="276" w:lineRule="auto"/>
        <w:ind w:left="720"/>
        <w:jc w:val="both"/>
        <w:rPr>
          <w:rFonts w:ascii="Times New Roman" w:eastAsia="Times New Roman" w:hAnsi="Times New Roman" w:cs="Times New Roman"/>
        </w:rPr>
      </w:pPr>
    </w:p>
    <w:p w14:paraId="0FFF764F" w14:textId="77777777" w:rsidR="002360C3" w:rsidRDefault="00000000">
      <w:pPr>
        <w:numPr>
          <w:ilvl w:val="1"/>
          <w:numId w:val="1"/>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Arte visual</w:t>
      </w:r>
      <w:r>
        <w:rPr>
          <w:rFonts w:ascii="Times New Roman" w:eastAsia="Times New Roman" w:hAnsi="Times New Roman" w:cs="Times New Roman"/>
        </w:rPr>
        <w:t>:</w:t>
      </w:r>
      <w:r>
        <w:rPr>
          <w:rFonts w:ascii="Times New Roman" w:eastAsia="Times New Roman" w:hAnsi="Times New Roman" w:cs="Times New Roman"/>
          <w:i/>
          <w:iCs/>
        </w:rPr>
        <w:t> </w:t>
      </w:r>
      <w:r>
        <w:rPr>
          <w:rFonts w:ascii="Times New Roman" w:eastAsia="Times New Roman" w:hAnsi="Times New Roman" w:cs="Times New Roman"/>
        </w:rPr>
        <w:t>La música composiciones podrían ser utilizadas como bandas sonoras intencionales para obras pictóricas o instalaciones de arte visual que exploren el claroscuro o la gradación de luz.</w:t>
      </w:r>
    </w:p>
    <w:p w14:paraId="566A5C7D" w14:textId="77777777" w:rsidR="002360C3" w:rsidRDefault="00000000">
      <w:pPr>
        <w:numPr>
          <w:ilvl w:val="1"/>
          <w:numId w:val="1"/>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t>Marketing y publicidad</w:t>
      </w:r>
      <w:r>
        <w:rPr>
          <w:rFonts w:ascii="Times New Roman" w:eastAsia="Times New Roman" w:hAnsi="Times New Roman" w:cs="Times New Roman"/>
        </w:rPr>
        <w:t>: La creación de “audio logos” o ambientaciones sonoras para marcas podría beneficiarse de esta comprensión, evocando sensaciones específicas de luminosidad, claridad o misterio asociadas al producto o servicio.</w:t>
      </w:r>
    </w:p>
    <w:p w14:paraId="496B0332" w14:textId="77777777" w:rsidR="002360C3" w:rsidRDefault="00000000">
      <w:pPr>
        <w:numPr>
          <w:ilvl w:val="1"/>
          <w:numId w:val="1"/>
        </w:numPr>
        <w:spacing w:line="276" w:lineRule="auto"/>
        <w:jc w:val="both"/>
        <w:rPr>
          <w:rFonts w:ascii="Times New Roman" w:eastAsia="Times New Roman" w:hAnsi="Times New Roman" w:cs="Times New Roman"/>
        </w:rPr>
      </w:pPr>
      <w:r>
        <w:rPr>
          <w:rFonts w:ascii="Times New Roman" w:eastAsia="Times New Roman" w:hAnsi="Times New Roman" w:cs="Times New Roman"/>
          <w:i/>
          <w:iCs/>
        </w:rPr>
        <w:lastRenderedPageBreak/>
        <w:t>Musicoterapia y cromoterapia</w:t>
      </w:r>
      <w:r>
        <w:rPr>
          <w:rFonts w:ascii="Times New Roman" w:eastAsia="Times New Roman" w:hAnsi="Times New Roman" w:cs="Times New Roman"/>
        </w:rPr>
        <w:t xml:space="preserve">: Dada la conexión entre brillo/oscuridad y estados de ánimo (Palmer </w:t>
      </w:r>
      <w:r>
        <w:rPr>
          <w:rFonts w:ascii="Times New Roman" w:eastAsia="Times New Roman" w:hAnsi="Times New Roman" w:cs="Times New Roman"/>
          <w:i/>
          <w:iCs/>
        </w:rPr>
        <w:t>et al</w:t>
      </w:r>
      <w:r>
        <w:rPr>
          <w:rFonts w:ascii="Times New Roman" w:eastAsia="Times New Roman" w:hAnsi="Times New Roman" w:cs="Times New Roman"/>
        </w:rPr>
        <w:t>., 2013; Tsang y Schloss, 2010), esta forma de composición podría ser un recurso valioso en la musicoterapia, colaborando con la cromoterapia para generar ambientes terapéuticos que influyan en el bienestar emocional de los individuos.</w:t>
      </w:r>
    </w:p>
    <w:p w14:paraId="29668290" w14:textId="77777777" w:rsidR="002360C3" w:rsidRDefault="002360C3">
      <w:pPr>
        <w:spacing w:line="276" w:lineRule="auto"/>
        <w:ind w:left="1440"/>
        <w:jc w:val="both"/>
        <w:rPr>
          <w:rFonts w:ascii="Times New Roman" w:eastAsia="Times New Roman" w:hAnsi="Times New Roman" w:cs="Times New Roman"/>
        </w:rPr>
      </w:pPr>
    </w:p>
    <w:p w14:paraId="5CAB8948" w14:textId="77777777" w:rsidR="002360C3"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En síntesis, este estudio contribuye al campo de la composición modal mediante una obra que explora las correspondencias entre sonido y luz y reinterpreta compositivamente la gradación de brillo</w:t>
      </w:r>
      <w:r>
        <w:rPr>
          <w:rFonts w:ascii="Times New Roman" w:eastAsia="Times New Roman" w:hAnsi="Times New Roman" w:cs="Times New Roman"/>
          <w:i/>
          <w:iCs/>
          <w:sz w:val="20"/>
          <w:szCs w:val="20"/>
        </w:rPr>
        <w:t>–</w:t>
      </w:r>
      <w:r>
        <w:rPr>
          <w:rFonts w:ascii="Times New Roman" w:eastAsia="Times New Roman" w:hAnsi="Times New Roman" w:cs="Times New Roman"/>
        </w:rPr>
        <w:t>oscuridad propuesta por Persichetti y Miller. En esta reinterpretación, la organización interválica y la posición de los grados característicos respecto de la tónica funcionan como criterios prácticos para articular el recorrido modal y expresivo de la obra. Es una invitación a la contemplación y a la reconexión con la capacidad intrínseca de la música para comunicar las más sutiles y profundas experiencias humanas.</w:t>
      </w:r>
    </w:p>
    <w:p w14:paraId="3BBE671F" w14:textId="77777777" w:rsidR="002360C3" w:rsidRDefault="002360C3">
      <w:pPr>
        <w:spacing w:line="276" w:lineRule="auto"/>
        <w:jc w:val="both"/>
        <w:rPr>
          <w:rFonts w:ascii="Times New Roman" w:eastAsia="Times New Roman" w:hAnsi="Times New Roman" w:cs="Times New Roman"/>
          <w:b/>
          <w:bCs/>
          <w:sz w:val="18"/>
          <w:szCs w:val="18"/>
        </w:rPr>
      </w:pPr>
    </w:p>
    <w:p w14:paraId="1286F38B" w14:textId="77777777" w:rsidR="002360C3" w:rsidRDefault="002360C3">
      <w:pPr>
        <w:spacing w:line="276" w:lineRule="auto"/>
        <w:jc w:val="both"/>
        <w:rPr>
          <w:rFonts w:ascii="Times New Roman" w:eastAsia="Times New Roman" w:hAnsi="Times New Roman" w:cs="Times New Roman"/>
          <w:b/>
          <w:bCs/>
          <w:sz w:val="18"/>
          <w:szCs w:val="18"/>
        </w:rPr>
      </w:pPr>
    </w:p>
    <w:p w14:paraId="5E39E8D2" w14:textId="77777777" w:rsidR="002360C3"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b/>
          <w:bCs/>
          <w:sz w:val="18"/>
          <w:szCs w:val="18"/>
        </w:rPr>
        <w:t>Rol de autores CrediT</w:t>
      </w:r>
      <w:r>
        <w:rPr>
          <w:rFonts w:ascii="Times New Roman" w:eastAsia="Times New Roman" w:hAnsi="Times New Roman" w:cs="Times New Roman"/>
          <w:sz w:val="18"/>
          <w:szCs w:val="18"/>
        </w:rPr>
        <w:t> </w:t>
      </w:r>
    </w:p>
    <w:tbl>
      <w:tblPr>
        <w:tblStyle w:val="a"/>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9"/>
        <w:gridCol w:w="7431"/>
      </w:tblGrid>
      <w:tr w:rsidR="002360C3" w14:paraId="0C13E46C" w14:textId="77777777">
        <w:tc>
          <w:tcPr>
            <w:tcW w:w="1569" w:type="dxa"/>
            <w:tcMar>
              <w:top w:w="100" w:type="dxa"/>
              <w:left w:w="100" w:type="dxa"/>
              <w:bottom w:w="100" w:type="dxa"/>
              <w:right w:w="100" w:type="dxa"/>
            </w:tcMar>
          </w:tcPr>
          <w:p w14:paraId="6EA5AB82" w14:textId="77777777" w:rsidR="002360C3" w:rsidRDefault="00000000">
            <w:pPr>
              <w:spacing w:line="276" w:lineRule="auto"/>
              <w:jc w:val="both"/>
              <w:rPr>
                <w:rFonts w:ascii="Times New Roman" w:eastAsia="Times New Roman" w:hAnsi="Times New Roman" w:cs="Times New Roman"/>
                <w:sz w:val="18"/>
                <w:szCs w:val="18"/>
              </w:rPr>
            </w:pPr>
            <w:commentRangeStart w:id="17"/>
            <w:r>
              <w:rPr>
                <w:rFonts w:ascii="Times New Roman" w:eastAsia="Times New Roman" w:hAnsi="Times New Roman" w:cs="Times New Roman"/>
                <w:b/>
                <w:bCs/>
                <w:sz w:val="18"/>
                <w:szCs w:val="18"/>
              </w:rPr>
              <w:t>HAER</w:t>
            </w:r>
            <w:commentRangeEnd w:id="17"/>
            <w:r w:rsidR="007B080C">
              <w:rPr>
                <w:rStyle w:val="Refdecomentario"/>
                <w:rFonts w:ascii="Times New Roman" w:eastAsia="Times New Roman" w:hAnsi="Times New Roman" w:cs="Times New Roman"/>
                <w:sz w:val="18"/>
                <w:szCs w:val="18"/>
              </w:rPr>
              <w:commentReference w:id="17"/>
            </w:r>
          </w:p>
        </w:tc>
        <w:tc>
          <w:tcPr>
            <w:tcW w:w="7431" w:type="dxa"/>
            <w:tcMar>
              <w:top w:w="100" w:type="dxa"/>
              <w:left w:w="100" w:type="dxa"/>
              <w:bottom w:w="100" w:type="dxa"/>
              <w:right w:w="100" w:type="dxa"/>
            </w:tcMar>
          </w:tcPr>
          <w:p w14:paraId="64B197A8" w14:textId="77777777" w:rsidR="002360C3"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Administración del proyecto, Conceptualización, Curación de datos, Análisis formal, Metodología, Visualización, Redacción del borrador inicial, Revisión y aprobación del manuscrito final para publicación. </w:t>
            </w:r>
          </w:p>
        </w:tc>
      </w:tr>
      <w:tr w:rsidR="002360C3" w14:paraId="29F683ED" w14:textId="77777777">
        <w:tc>
          <w:tcPr>
            <w:tcW w:w="1569" w:type="dxa"/>
            <w:tcMar>
              <w:top w:w="100" w:type="dxa"/>
              <w:left w:w="100" w:type="dxa"/>
              <w:bottom w:w="100" w:type="dxa"/>
              <w:right w:w="100" w:type="dxa"/>
            </w:tcMar>
          </w:tcPr>
          <w:p w14:paraId="722EB549" w14:textId="77777777" w:rsidR="002360C3" w:rsidRDefault="00000000">
            <w:pPr>
              <w:spacing w:line="276" w:lineRule="auto"/>
              <w:rPr>
                <w:rFonts w:ascii="Times New Roman" w:eastAsia="Times New Roman" w:hAnsi="Times New Roman" w:cs="Times New Roman"/>
                <w:sz w:val="18"/>
                <w:szCs w:val="18"/>
              </w:rPr>
            </w:pPr>
            <w:r>
              <w:rPr>
                <w:rFonts w:ascii="Times New Roman" w:eastAsia="Times New Roman" w:hAnsi="Times New Roman" w:cs="Times New Roman"/>
                <w:b/>
                <w:bCs/>
                <w:sz w:val="18"/>
                <w:szCs w:val="18"/>
              </w:rPr>
              <w:t>Fuentes de financiamiento</w:t>
            </w:r>
          </w:p>
        </w:tc>
        <w:tc>
          <w:tcPr>
            <w:tcW w:w="7431" w:type="dxa"/>
            <w:tcMar>
              <w:top w:w="100" w:type="dxa"/>
              <w:left w:w="100" w:type="dxa"/>
              <w:bottom w:w="100" w:type="dxa"/>
              <w:right w:w="100" w:type="dxa"/>
            </w:tcMar>
          </w:tcPr>
          <w:p w14:paraId="04ED9840" w14:textId="77777777" w:rsidR="002360C3" w:rsidRDefault="00000000">
            <w:pPr>
              <w:spacing w:line="276" w:lineRule="auto"/>
              <w:jc w:val="both"/>
              <w:rPr>
                <w:rFonts w:ascii="Times New Roman" w:eastAsia="Times New Roman" w:hAnsi="Times New Roman" w:cs="Times New Roman"/>
                <w:sz w:val="18"/>
                <w:szCs w:val="18"/>
              </w:rPr>
            </w:pPr>
            <w:commentRangeStart w:id="18"/>
            <w:r>
              <w:rPr>
                <w:rFonts w:ascii="Times New Roman" w:eastAsia="Times New Roman" w:hAnsi="Times New Roman" w:cs="Times New Roman"/>
                <w:sz w:val="18"/>
                <w:szCs w:val="18"/>
              </w:rPr>
              <w:t>La investigación fue en su totalidad autofinanciada por el autor de este trabajo. </w:t>
            </w:r>
            <w:commentRangeEnd w:id="18"/>
            <w:r w:rsidR="007B080C">
              <w:rPr>
                <w:rStyle w:val="Refdecomentario"/>
                <w:rFonts w:ascii="Times New Roman" w:eastAsia="Times New Roman" w:hAnsi="Times New Roman" w:cs="Times New Roman"/>
                <w:sz w:val="18"/>
                <w:szCs w:val="18"/>
              </w:rPr>
              <w:commentReference w:id="18"/>
            </w:r>
          </w:p>
        </w:tc>
      </w:tr>
      <w:tr w:rsidR="002360C3" w14:paraId="1F7E3454" w14:textId="77777777">
        <w:tc>
          <w:tcPr>
            <w:tcW w:w="1569" w:type="dxa"/>
            <w:tcMar>
              <w:top w:w="100" w:type="dxa"/>
              <w:left w:w="100" w:type="dxa"/>
              <w:bottom w:w="100" w:type="dxa"/>
              <w:right w:w="100" w:type="dxa"/>
            </w:tcMar>
          </w:tcPr>
          <w:p w14:paraId="712FE92C" w14:textId="77777777" w:rsidR="002360C3" w:rsidRDefault="00000000">
            <w:pPr>
              <w:spacing w:line="276" w:lineRule="auto"/>
              <w:rPr>
                <w:rFonts w:ascii="Times New Roman" w:eastAsia="Times New Roman" w:hAnsi="Times New Roman" w:cs="Times New Roman"/>
                <w:sz w:val="18"/>
                <w:szCs w:val="18"/>
              </w:rPr>
            </w:pPr>
            <w:r>
              <w:rPr>
                <w:rFonts w:ascii="Times New Roman" w:eastAsia="Times New Roman" w:hAnsi="Times New Roman" w:cs="Times New Roman"/>
                <w:b/>
                <w:bCs/>
                <w:sz w:val="18"/>
                <w:szCs w:val="18"/>
              </w:rPr>
              <w:t>Conflicto de interés</w:t>
            </w:r>
          </w:p>
        </w:tc>
        <w:tc>
          <w:tcPr>
            <w:tcW w:w="7431" w:type="dxa"/>
            <w:tcMar>
              <w:top w:w="100" w:type="dxa"/>
              <w:left w:w="100" w:type="dxa"/>
              <w:bottom w:w="100" w:type="dxa"/>
              <w:right w:w="100" w:type="dxa"/>
            </w:tcMar>
          </w:tcPr>
          <w:p w14:paraId="5611212A" w14:textId="77777777" w:rsidR="002360C3"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El </w:t>
            </w:r>
            <w:commentRangeStart w:id="19"/>
            <w:r>
              <w:rPr>
                <w:rFonts w:ascii="Times New Roman" w:eastAsia="Times New Roman" w:hAnsi="Times New Roman" w:cs="Times New Roman"/>
                <w:sz w:val="18"/>
                <w:szCs w:val="18"/>
              </w:rPr>
              <w:t xml:space="preserve">autor </w:t>
            </w:r>
            <w:commentRangeEnd w:id="19"/>
            <w:r w:rsidR="007B080C">
              <w:rPr>
                <w:rStyle w:val="Refdecomentario"/>
                <w:rFonts w:ascii="Times New Roman" w:eastAsia="Times New Roman" w:hAnsi="Times New Roman" w:cs="Times New Roman"/>
                <w:sz w:val="18"/>
                <w:szCs w:val="18"/>
              </w:rPr>
              <w:commentReference w:id="19"/>
            </w:r>
            <w:r>
              <w:rPr>
                <w:rFonts w:ascii="Times New Roman" w:eastAsia="Times New Roman" w:hAnsi="Times New Roman" w:cs="Times New Roman"/>
                <w:sz w:val="18"/>
                <w:szCs w:val="18"/>
              </w:rPr>
              <w:t>declara no tener ningún conflicto de interés económico, institucional o laboral.  </w:t>
            </w:r>
          </w:p>
          <w:p w14:paraId="6A321C8D" w14:textId="77777777" w:rsidR="002360C3" w:rsidRDefault="002360C3">
            <w:pPr>
              <w:spacing w:line="276" w:lineRule="auto"/>
              <w:jc w:val="both"/>
              <w:rPr>
                <w:rFonts w:ascii="Times New Roman" w:eastAsia="Times New Roman" w:hAnsi="Times New Roman" w:cs="Times New Roman"/>
                <w:sz w:val="18"/>
                <w:szCs w:val="18"/>
              </w:rPr>
            </w:pPr>
          </w:p>
        </w:tc>
      </w:tr>
      <w:tr w:rsidR="002360C3" w14:paraId="3C1BF2CE" w14:textId="77777777">
        <w:tc>
          <w:tcPr>
            <w:tcW w:w="1569" w:type="dxa"/>
            <w:tcMar>
              <w:top w:w="100" w:type="dxa"/>
              <w:left w:w="100" w:type="dxa"/>
              <w:bottom w:w="100" w:type="dxa"/>
              <w:right w:w="100" w:type="dxa"/>
            </w:tcMar>
          </w:tcPr>
          <w:p w14:paraId="47AA2B98" w14:textId="77777777" w:rsidR="002360C3"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b/>
                <w:bCs/>
                <w:sz w:val="18"/>
                <w:szCs w:val="18"/>
              </w:rPr>
              <w:t>Aspectos éticos</w:t>
            </w:r>
            <w:r>
              <w:rPr>
                <w:rFonts w:ascii="Times New Roman" w:eastAsia="Times New Roman" w:hAnsi="Times New Roman" w:cs="Times New Roman"/>
                <w:sz w:val="18"/>
                <w:szCs w:val="18"/>
              </w:rPr>
              <w:t> </w:t>
            </w:r>
          </w:p>
        </w:tc>
        <w:tc>
          <w:tcPr>
            <w:tcW w:w="7431" w:type="dxa"/>
            <w:tcMar>
              <w:top w:w="100" w:type="dxa"/>
              <w:left w:w="100" w:type="dxa"/>
              <w:bottom w:w="100" w:type="dxa"/>
              <w:right w:w="100" w:type="dxa"/>
            </w:tcMar>
          </w:tcPr>
          <w:p w14:paraId="66573F15" w14:textId="77777777" w:rsidR="002360C3"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Se cumplió con las normas éticas, los códigos de conducta para la investigación y los lineamientos de </w:t>
            </w:r>
            <w:r>
              <w:rPr>
                <w:rFonts w:ascii="Times New Roman" w:eastAsia="Times New Roman" w:hAnsi="Times New Roman" w:cs="Times New Roman"/>
                <w:i/>
                <w:iCs/>
                <w:sz w:val="18"/>
                <w:szCs w:val="18"/>
              </w:rPr>
              <w:t>Antec: Revista Peruana de Investigación Musical</w:t>
            </w:r>
            <w:r>
              <w:rPr>
                <w:rFonts w:ascii="Times New Roman" w:eastAsia="Times New Roman" w:hAnsi="Times New Roman" w:cs="Times New Roman"/>
                <w:sz w:val="18"/>
                <w:szCs w:val="18"/>
              </w:rPr>
              <w:t>.</w:t>
            </w:r>
          </w:p>
        </w:tc>
      </w:tr>
    </w:tbl>
    <w:p w14:paraId="173E8B13" w14:textId="77777777" w:rsidR="002360C3" w:rsidRDefault="002360C3">
      <w:pPr>
        <w:spacing w:line="276" w:lineRule="auto"/>
        <w:jc w:val="both"/>
        <w:rPr>
          <w:rFonts w:ascii="Times New Roman" w:eastAsia="Times New Roman" w:hAnsi="Times New Roman" w:cs="Times New Roman"/>
          <w:b/>
          <w:bCs/>
        </w:rPr>
      </w:pPr>
    </w:p>
    <w:p w14:paraId="556A2142" w14:textId="77777777" w:rsidR="002360C3" w:rsidRDefault="002360C3">
      <w:pPr>
        <w:spacing w:line="276" w:lineRule="auto"/>
        <w:jc w:val="both"/>
        <w:rPr>
          <w:rFonts w:ascii="Times New Roman" w:eastAsia="Times New Roman" w:hAnsi="Times New Roman" w:cs="Times New Roman"/>
          <w:b/>
          <w:bCs/>
        </w:rPr>
      </w:pPr>
    </w:p>
    <w:p w14:paraId="684F1185" w14:textId="77777777" w:rsidR="002360C3" w:rsidRDefault="00000000">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Referencias </w:t>
      </w:r>
    </w:p>
    <w:p w14:paraId="3C601D05" w14:textId="77777777" w:rsidR="002360C3" w:rsidRDefault="002360C3">
      <w:pPr>
        <w:spacing w:line="276" w:lineRule="auto"/>
        <w:jc w:val="both"/>
        <w:rPr>
          <w:rFonts w:ascii="Times New Roman" w:eastAsia="Times New Roman" w:hAnsi="Times New Roman" w:cs="Times New Roman"/>
          <w:b/>
          <w:bCs/>
        </w:rPr>
      </w:pPr>
      <w:commentRangeStart w:id="20"/>
      <w:commentRangeStart w:id="21"/>
      <w:commentRangeStart w:id="22"/>
    </w:p>
    <w:p w14:paraId="4E461ACA" w14:textId="77777777" w:rsidR="002360C3" w:rsidRDefault="00000000">
      <w:pPr>
        <w:spacing w:line="276" w:lineRule="auto"/>
        <w:ind w:left="566" w:hanging="566"/>
        <w:jc w:val="both"/>
        <w:rPr>
          <w:rFonts w:ascii="Times New Roman" w:eastAsia="Times New Roman" w:hAnsi="Times New Roman" w:cs="Times New Roman"/>
        </w:rPr>
      </w:pPr>
      <w:r>
        <w:rPr>
          <w:rFonts w:ascii="Times New Roman" w:eastAsia="Times New Roman" w:hAnsi="Times New Roman" w:cs="Times New Roman"/>
        </w:rPr>
        <w:t xml:space="preserve">Aristóteles. (2017). </w:t>
      </w:r>
      <w:r>
        <w:rPr>
          <w:rFonts w:ascii="Times New Roman" w:eastAsia="Times New Roman" w:hAnsi="Times New Roman" w:cs="Times New Roman"/>
          <w:i/>
          <w:iCs/>
        </w:rPr>
        <w:t>Metafísica</w:t>
      </w:r>
      <w:r>
        <w:rPr>
          <w:rFonts w:ascii="Times New Roman" w:eastAsia="Times New Roman" w:hAnsi="Times New Roman" w:cs="Times New Roman"/>
        </w:rPr>
        <w:t xml:space="preserve"> (M. L. Alía Alberca, Trad.). Alianza Editorial. (Obra original publicada ca. siglo IV a. C.).</w:t>
      </w:r>
      <w:commentRangeEnd w:id="20"/>
      <w:r w:rsidR="007B080C">
        <w:rPr>
          <w:rStyle w:val="Refdecomentario"/>
          <w:rFonts w:ascii="Times New Roman" w:eastAsia="Times New Roman" w:hAnsi="Times New Roman" w:cs="Times New Roman"/>
          <w:sz w:val="24"/>
          <w:szCs w:val="24"/>
        </w:rPr>
        <w:commentReference w:id="20"/>
      </w:r>
      <w:commentRangeEnd w:id="21"/>
      <w:r w:rsidR="007B080C">
        <w:rPr>
          <w:rStyle w:val="Refdecomentario"/>
          <w:rFonts w:ascii="Times New Roman" w:eastAsia="Times New Roman" w:hAnsi="Times New Roman" w:cs="Times New Roman"/>
          <w:sz w:val="24"/>
          <w:szCs w:val="24"/>
        </w:rPr>
        <w:commentReference w:id="21"/>
      </w:r>
      <w:commentRangeEnd w:id="22"/>
      <w:r w:rsidR="007B080C">
        <w:rPr>
          <w:rStyle w:val="Refdecomentario"/>
          <w:rFonts w:ascii="Times New Roman" w:eastAsia="Times New Roman" w:hAnsi="Times New Roman" w:cs="Times New Roman"/>
          <w:sz w:val="24"/>
          <w:szCs w:val="24"/>
        </w:rPr>
        <w:commentReference w:id="22"/>
      </w:r>
    </w:p>
    <w:p w14:paraId="727E8648" w14:textId="77777777" w:rsidR="002360C3" w:rsidRDefault="002360C3">
      <w:pPr>
        <w:spacing w:line="276" w:lineRule="auto"/>
        <w:ind w:left="566" w:hanging="566"/>
        <w:jc w:val="both"/>
        <w:rPr>
          <w:rFonts w:ascii="Times New Roman" w:eastAsia="Times New Roman" w:hAnsi="Times New Roman" w:cs="Times New Roman"/>
        </w:rPr>
      </w:pPr>
    </w:p>
    <w:p w14:paraId="7AF25C42" w14:textId="77777777" w:rsidR="002360C3" w:rsidRDefault="00000000">
      <w:pPr>
        <w:spacing w:line="276" w:lineRule="auto"/>
        <w:ind w:left="566" w:hanging="566"/>
        <w:jc w:val="both"/>
        <w:rPr>
          <w:rFonts w:ascii="Times New Roman" w:eastAsia="Times New Roman" w:hAnsi="Times New Roman" w:cs="Times New Roman"/>
        </w:rPr>
      </w:pPr>
      <w:r>
        <w:rPr>
          <w:rFonts w:ascii="Times New Roman" w:eastAsia="Times New Roman" w:hAnsi="Times New Roman" w:cs="Times New Roman"/>
        </w:rPr>
        <w:t>Berendt, J.</w:t>
      </w:r>
      <w:r>
        <w:rPr>
          <w:rFonts w:ascii="Times New Roman" w:eastAsia="Times New Roman" w:hAnsi="Times New Roman" w:cs="Times New Roman"/>
          <w:i/>
          <w:iCs/>
          <w:sz w:val="20"/>
          <w:szCs w:val="20"/>
        </w:rPr>
        <w:t xml:space="preserve"> </w:t>
      </w:r>
      <w:r>
        <w:rPr>
          <w:rFonts w:ascii="Times New Roman" w:eastAsia="Times New Roman" w:hAnsi="Times New Roman" w:cs="Times New Roman"/>
        </w:rPr>
        <w:t xml:space="preserve">E. (1994). </w:t>
      </w:r>
      <w:r>
        <w:rPr>
          <w:rFonts w:ascii="Times New Roman" w:eastAsia="Times New Roman" w:hAnsi="Times New Roman" w:cs="Times New Roman"/>
          <w:i/>
          <w:iCs/>
        </w:rPr>
        <w:t>El jazz: de Nueva Orleans al jazz rock</w:t>
      </w:r>
      <w:r>
        <w:rPr>
          <w:rFonts w:ascii="Times New Roman" w:eastAsia="Times New Roman" w:hAnsi="Times New Roman" w:cs="Times New Roman"/>
        </w:rPr>
        <w:t xml:space="preserve"> (J. Reuter &amp; J. J. Utrilla, Trads.). Fondo de Cultura Económica.</w:t>
      </w:r>
    </w:p>
    <w:p w14:paraId="3ECA4397" w14:textId="77777777" w:rsidR="002360C3" w:rsidRDefault="002360C3">
      <w:pPr>
        <w:spacing w:line="276" w:lineRule="auto"/>
        <w:ind w:left="566" w:hanging="566"/>
        <w:jc w:val="both"/>
        <w:rPr>
          <w:rFonts w:ascii="Times New Roman" w:eastAsia="Times New Roman" w:hAnsi="Times New Roman" w:cs="Times New Roman"/>
        </w:rPr>
      </w:pPr>
    </w:p>
    <w:p w14:paraId="708FDC2F" w14:textId="77777777" w:rsidR="002360C3" w:rsidRDefault="00000000">
      <w:pPr>
        <w:spacing w:line="276" w:lineRule="auto"/>
        <w:ind w:left="566" w:hanging="566"/>
        <w:jc w:val="both"/>
        <w:rPr>
          <w:rFonts w:ascii="Times New Roman" w:eastAsia="Times New Roman" w:hAnsi="Times New Roman" w:cs="Times New Roman"/>
        </w:rPr>
      </w:pPr>
      <w:r>
        <w:rPr>
          <w:rFonts w:ascii="Times New Roman" w:eastAsia="Times New Roman" w:hAnsi="Times New Roman" w:cs="Times New Roman"/>
        </w:rPr>
        <w:t xml:space="preserve">Burkholder, J. P., Grout, D. J., &amp; Palisca, C. V. (2015). </w:t>
      </w:r>
      <w:r>
        <w:rPr>
          <w:rFonts w:ascii="Times New Roman" w:eastAsia="Times New Roman" w:hAnsi="Times New Roman" w:cs="Times New Roman"/>
          <w:i/>
          <w:iCs/>
        </w:rPr>
        <w:t>Historia de la música occidental</w:t>
      </w:r>
      <w:r>
        <w:rPr>
          <w:rFonts w:ascii="Times New Roman" w:eastAsia="Times New Roman" w:hAnsi="Times New Roman" w:cs="Times New Roman"/>
        </w:rPr>
        <w:t xml:space="preserve"> (G. M. Torrellas, Trad.). Alianza Editorial.</w:t>
      </w:r>
    </w:p>
    <w:p w14:paraId="59FED93B" w14:textId="77777777" w:rsidR="002360C3" w:rsidRDefault="002360C3">
      <w:pPr>
        <w:spacing w:line="276" w:lineRule="auto"/>
        <w:ind w:left="566" w:hanging="566"/>
        <w:jc w:val="both"/>
        <w:rPr>
          <w:rFonts w:ascii="Times New Roman" w:eastAsia="Times New Roman" w:hAnsi="Times New Roman" w:cs="Times New Roman"/>
        </w:rPr>
      </w:pPr>
    </w:p>
    <w:p w14:paraId="20E08454" w14:textId="77777777" w:rsidR="002360C3" w:rsidRDefault="00000000">
      <w:pPr>
        <w:spacing w:line="276" w:lineRule="auto"/>
        <w:ind w:left="566" w:hanging="566"/>
        <w:jc w:val="both"/>
        <w:rPr>
          <w:rFonts w:ascii="Times New Roman" w:eastAsia="Times New Roman" w:hAnsi="Times New Roman" w:cs="Times New Roman"/>
        </w:rPr>
      </w:pPr>
      <w:r>
        <w:rPr>
          <w:rFonts w:ascii="Times New Roman" w:eastAsia="Times New Roman" w:hAnsi="Times New Roman" w:cs="Times New Roman"/>
        </w:rPr>
        <w:t xml:space="preserve">Davies, S. (2017). </w:t>
      </w:r>
      <w:r>
        <w:rPr>
          <w:rFonts w:ascii="Times New Roman" w:eastAsia="Times New Roman" w:hAnsi="Times New Roman" w:cs="Times New Roman"/>
          <w:i/>
          <w:iCs/>
        </w:rPr>
        <w:t>Cómo entender una obra musical y otros ensayos de filosofía de la música</w:t>
      </w:r>
      <w:r>
        <w:rPr>
          <w:rFonts w:ascii="Times New Roman" w:eastAsia="Times New Roman" w:hAnsi="Times New Roman" w:cs="Times New Roman"/>
        </w:rPr>
        <w:t>. Ediciones Cátedra.</w:t>
      </w:r>
    </w:p>
    <w:p w14:paraId="60414076" w14:textId="77777777" w:rsidR="002360C3" w:rsidRDefault="002360C3">
      <w:pPr>
        <w:spacing w:line="276" w:lineRule="auto"/>
        <w:ind w:left="566" w:hanging="566"/>
        <w:jc w:val="both"/>
        <w:rPr>
          <w:rFonts w:ascii="Times New Roman" w:eastAsia="Times New Roman" w:hAnsi="Times New Roman" w:cs="Times New Roman"/>
        </w:rPr>
      </w:pPr>
    </w:p>
    <w:p w14:paraId="4252E6AD" w14:textId="77777777" w:rsidR="002360C3" w:rsidRDefault="00000000">
      <w:pPr>
        <w:spacing w:line="276" w:lineRule="auto"/>
        <w:ind w:left="566" w:hanging="566"/>
        <w:jc w:val="both"/>
        <w:rPr>
          <w:rFonts w:ascii="Times New Roman" w:eastAsia="Times New Roman" w:hAnsi="Times New Roman" w:cs="Times New Roman"/>
        </w:rPr>
      </w:pPr>
      <w:r>
        <w:rPr>
          <w:rFonts w:ascii="Times New Roman" w:eastAsia="Times New Roman" w:hAnsi="Times New Roman" w:cs="Times New Roman"/>
        </w:rPr>
        <w:t xml:space="preserve">González Compeán, F. J. (2011). </w:t>
      </w:r>
      <w:r>
        <w:rPr>
          <w:rFonts w:ascii="Times New Roman" w:eastAsia="Times New Roman" w:hAnsi="Times New Roman" w:cs="Times New Roman"/>
          <w:i/>
          <w:iCs/>
        </w:rPr>
        <w:t>Tonalidad sinestésica: relaciones entre la tonalidad de la música y del color a través de una propuesta personal</w:t>
      </w:r>
      <w:r>
        <w:rPr>
          <w:rFonts w:ascii="Times New Roman" w:eastAsia="Times New Roman" w:hAnsi="Times New Roman" w:cs="Times New Roman"/>
        </w:rPr>
        <w:t xml:space="preserve"> [Tesis doctoral, Universitat Politècnica de València]. Editorial Universitat Politècnica de València.</w:t>
      </w:r>
    </w:p>
    <w:p w14:paraId="016865B3" w14:textId="77777777" w:rsidR="002360C3" w:rsidRDefault="002360C3">
      <w:pPr>
        <w:spacing w:line="276" w:lineRule="auto"/>
        <w:ind w:left="566" w:hanging="566"/>
        <w:jc w:val="both"/>
        <w:rPr>
          <w:rFonts w:ascii="Times New Roman" w:eastAsia="Times New Roman" w:hAnsi="Times New Roman" w:cs="Times New Roman"/>
        </w:rPr>
      </w:pPr>
    </w:p>
    <w:p w14:paraId="1D123841" w14:textId="77777777" w:rsidR="002360C3" w:rsidRPr="00F24E28" w:rsidRDefault="00000000">
      <w:pPr>
        <w:spacing w:line="276" w:lineRule="auto"/>
        <w:ind w:left="566" w:hanging="566"/>
        <w:jc w:val="both"/>
        <w:rPr>
          <w:rFonts w:ascii="Times New Roman" w:eastAsia="Times New Roman" w:hAnsi="Times New Roman" w:cs="Times New Roman"/>
          <w:lang w:val="en-US"/>
        </w:rPr>
      </w:pPr>
      <w:r>
        <w:rPr>
          <w:rFonts w:ascii="Times New Roman" w:eastAsia="Times New Roman" w:hAnsi="Times New Roman" w:cs="Times New Roman"/>
        </w:rPr>
        <w:t>Han, B.</w:t>
      </w:r>
      <w:r>
        <w:rPr>
          <w:rFonts w:ascii="Times New Roman" w:eastAsia="Times New Roman" w:hAnsi="Times New Roman" w:cs="Times New Roman"/>
          <w:i/>
          <w:iCs/>
          <w:sz w:val="20"/>
          <w:szCs w:val="20"/>
        </w:rPr>
        <w:t>–</w:t>
      </w:r>
      <w:r>
        <w:rPr>
          <w:rFonts w:ascii="Times New Roman" w:eastAsia="Times New Roman" w:hAnsi="Times New Roman" w:cs="Times New Roman"/>
        </w:rPr>
        <w:t xml:space="preserve">C. (2015). </w:t>
      </w:r>
      <w:r>
        <w:rPr>
          <w:rFonts w:ascii="Times New Roman" w:eastAsia="Times New Roman" w:hAnsi="Times New Roman" w:cs="Times New Roman"/>
          <w:i/>
          <w:iCs/>
        </w:rPr>
        <w:t>El aroma del tiempo: un ensayo filosófico sobre el arte de demorarse</w:t>
      </w:r>
      <w:r>
        <w:rPr>
          <w:rFonts w:ascii="Times New Roman" w:eastAsia="Times New Roman" w:hAnsi="Times New Roman" w:cs="Times New Roman"/>
        </w:rPr>
        <w:t xml:space="preserve">. </w:t>
      </w:r>
      <w:r w:rsidRPr="00F24E28">
        <w:rPr>
          <w:rFonts w:ascii="Times New Roman" w:eastAsia="Times New Roman" w:hAnsi="Times New Roman" w:cs="Times New Roman"/>
          <w:lang w:val="en-US"/>
        </w:rPr>
        <w:t xml:space="preserve">Herder. </w:t>
      </w:r>
      <w:hyperlink r:id="rId35">
        <w:r w:rsidRPr="00F24E28">
          <w:rPr>
            <w:rFonts w:ascii="Times New Roman" w:eastAsia="Times New Roman" w:hAnsi="Times New Roman" w:cs="Times New Roman"/>
            <w:color w:val="1155CC"/>
            <w:u w:val="single"/>
            <w:lang w:val="en-US"/>
          </w:rPr>
          <w:t>https://doi.org/10.2307/j.ctvt9k3fk</w:t>
        </w:r>
      </w:hyperlink>
    </w:p>
    <w:p w14:paraId="5F04E03E" w14:textId="77777777" w:rsidR="002360C3" w:rsidRPr="00F24E28" w:rsidRDefault="002360C3">
      <w:pPr>
        <w:spacing w:line="276" w:lineRule="auto"/>
        <w:ind w:left="566" w:hanging="566"/>
        <w:jc w:val="both"/>
        <w:rPr>
          <w:rFonts w:ascii="Times New Roman" w:eastAsia="Times New Roman" w:hAnsi="Times New Roman" w:cs="Times New Roman"/>
          <w:lang w:val="en-US"/>
        </w:rPr>
      </w:pPr>
    </w:p>
    <w:p w14:paraId="591B8C91" w14:textId="77777777" w:rsidR="002360C3" w:rsidRPr="00F24E28" w:rsidRDefault="00000000">
      <w:pPr>
        <w:spacing w:line="276" w:lineRule="auto"/>
        <w:ind w:left="566" w:hanging="566"/>
        <w:jc w:val="both"/>
        <w:rPr>
          <w:rFonts w:ascii="Times New Roman" w:eastAsia="Times New Roman" w:hAnsi="Times New Roman" w:cs="Times New Roman"/>
          <w:lang w:val="en-US"/>
        </w:rPr>
      </w:pPr>
      <w:r w:rsidRPr="00F24E28">
        <w:rPr>
          <w:rFonts w:ascii="Times New Roman" w:eastAsia="Times New Roman" w:hAnsi="Times New Roman" w:cs="Times New Roman"/>
          <w:lang w:val="en-US"/>
        </w:rPr>
        <w:t>Koelsch, S. (2014). Brain correlates of music</w:t>
      </w:r>
      <w:r w:rsidRPr="00F24E28">
        <w:rPr>
          <w:rFonts w:ascii="Times New Roman" w:eastAsia="Times New Roman" w:hAnsi="Times New Roman" w:cs="Times New Roman"/>
          <w:i/>
          <w:iCs/>
          <w:lang w:val="en-US"/>
        </w:rPr>
        <w:t>–</w:t>
      </w:r>
      <w:r w:rsidRPr="00F24E28">
        <w:rPr>
          <w:rFonts w:ascii="Times New Roman" w:eastAsia="Times New Roman" w:hAnsi="Times New Roman" w:cs="Times New Roman"/>
          <w:lang w:val="en-US"/>
        </w:rPr>
        <w:t xml:space="preserve">evoked emotions. </w:t>
      </w:r>
      <w:r w:rsidRPr="00F24E28">
        <w:rPr>
          <w:rFonts w:ascii="Times New Roman" w:eastAsia="Times New Roman" w:hAnsi="Times New Roman" w:cs="Times New Roman"/>
          <w:i/>
          <w:iCs/>
          <w:lang w:val="en-US"/>
        </w:rPr>
        <w:t>Nature Reviews Neuroscience, 15</w:t>
      </w:r>
      <w:r w:rsidRPr="00F24E28">
        <w:rPr>
          <w:rFonts w:ascii="Times New Roman" w:eastAsia="Times New Roman" w:hAnsi="Times New Roman" w:cs="Times New Roman"/>
          <w:lang w:val="en-US"/>
        </w:rPr>
        <w:t xml:space="preserve">(3), 170–180. </w:t>
      </w:r>
      <w:hyperlink r:id="rId36">
        <w:r w:rsidRPr="00F24E28">
          <w:rPr>
            <w:rFonts w:ascii="Times New Roman" w:eastAsia="Times New Roman" w:hAnsi="Times New Roman" w:cs="Times New Roman"/>
            <w:color w:val="1155CC"/>
            <w:u w:val="single"/>
            <w:lang w:val="en-US"/>
          </w:rPr>
          <w:t>https://doi.org/10.1038/nrn3666</w:t>
        </w:r>
      </w:hyperlink>
    </w:p>
    <w:p w14:paraId="10EC7756" w14:textId="77777777" w:rsidR="002360C3" w:rsidRPr="00F24E28" w:rsidRDefault="002360C3">
      <w:pPr>
        <w:spacing w:line="276" w:lineRule="auto"/>
        <w:ind w:left="566" w:hanging="566"/>
        <w:jc w:val="both"/>
        <w:rPr>
          <w:rFonts w:ascii="Times New Roman" w:eastAsia="Times New Roman" w:hAnsi="Times New Roman" w:cs="Times New Roman"/>
          <w:lang w:val="en-US"/>
        </w:rPr>
      </w:pPr>
    </w:p>
    <w:p w14:paraId="5AAADDDB" w14:textId="77777777" w:rsidR="002360C3" w:rsidRPr="00F24E28" w:rsidRDefault="00000000">
      <w:pPr>
        <w:spacing w:line="276" w:lineRule="auto"/>
        <w:ind w:left="566" w:hanging="566"/>
        <w:jc w:val="both"/>
        <w:rPr>
          <w:rFonts w:ascii="Times New Roman" w:eastAsia="Times New Roman" w:hAnsi="Times New Roman" w:cs="Times New Roman"/>
          <w:lang w:val="en-US"/>
        </w:rPr>
      </w:pPr>
      <w:r w:rsidRPr="00F24E28">
        <w:rPr>
          <w:rFonts w:ascii="Times New Roman" w:eastAsia="Times New Roman" w:hAnsi="Times New Roman" w:cs="Times New Roman"/>
          <w:lang w:val="en-US"/>
        </w:rPr>
        <w:t>Mehr, S. A., Singh, M., Knox, D., Ketter, D. M., Pickens</w:t>
      </w:r>
      <w:r w:rsidRPr="00F24E28">
        <w:rPr>
          <w:rFonts w:ascii="Times New Roman" w:eastAsia="Times New Roman" w:hAnsi="Times New Roman" w:cs="Times New Roman"/>
          <w:i/>
          <w:iCs/>
          <w:lang w:val="en-US"/>
        </w:rPr>
        <w:t>–</w:t>
      </w:r>
      <w:r w:rsidRPr="00F24E28">
        <w:rPr>
          <w:rFonts w:ascii="Times New Roman" w:eastAsia="Times New Roman" w:hAnsi="Times New Roman" w:cs="Times New Roman"/>
          <w:lang w:val="en-US"/>
        </w:rPr>
        <w:t xml:space="preserve">Jones, D., Atwood, S., Lucas, C., Jacoby, N., Egner, A. A., Hopkins, E. J., Howard, R. M., Hartshorne, J. K., Jennings, M. V., Simson, J., Bainbridge, C. M., Pinker, S., O’Donnell, T. J., Krasnow, M. M., &amp; Glowacki, L. (2019). Universality and diversity in human song. </w:t>
      </w:r>
      <w:r w:rsidRPr="00F24E28">
        <w:rPr>
          <w:rFonts w:ascii="Times New Roman" w:eastAsia="Times New Roman" w:hAnsi="Times New Roman" w:cs="Times New Roman"/>
          <w:i/>
          <w:iCs/>
          <w:lang w:val="en-US"/>
        </w:rPr>
        <w:t>Science, 366</w:t>
      </w:r>
      <w:r w:rsidRPr="00F24E28">
        <w:rPr>
          <w:rFonts w:ascii="Times New Roman" w:eastAsia="Times New Roman" w:hAnsi="Times New Roman" w:cs="Times New Roman"/>
          <w:lang w:val="en-US"/>
        </w:rPr>
        <w:t xml:space="preserve">(6468), Article eaax0868. </w:t>
      </w:r>
      <w:hyperlink r:id="rId37">
        <w:r w:rsidRPr="00F24E28">
          <w:rPr>
            <w:rFonts w:ascii="Times New Roman" w:eastAsia="Times New Roman" w:hAnsi="Times New Roman" w:cs="Times New Roman"/>
            <w:color w:val="1155CC"/>
            <w:u w:val="single"/>
            <w:lang w:val="en-US"/>
          </w:rPr>
          <w:t>https://doi.org/10.1126/science.aax0868</w:t>
        </w:r>
      </w:hyperlink>
    </w:p>
    <w:p w14:paraId="680DFC90" w14:textId="77777777" w:rsidR="002360C3" w:rsidRPr="00F24E28" w:rsidRDefault="002360C3">
      <w:pPr>
        <w:spacing w:line="276" w:lineRule="auto"/>
        <w:ind w:left="566" w:hanging="566"/>
        <w:jc w:val="both"/>
        <w:rPr>
          <w:rFonts w:ascii="Times New Roman" w:eastAsia="Times New Roman" w:hAnsi="Times New Roman" w:cs="Times New Roman"/>
          <w:lang w:val="en-US"/>
        </w:rPr>
      </w:pPr>
    </w:p>
    <w:p w14:paraId="7B9F10A0" w14:textId="77777777" w:rsidR="002360C3" w:rsidRPr="00F24E28" w:rsidRDefault="00000000">
      <w:pPr>
        <w:spacing w:line="276" w:lineRule="auto"/>
        <w:ind w:left="566" w:hanging="566"/>
        <w:jc w:val="both"/>
        <w:rPr>
          <w:rFonts w:ascii="Times New Roman" w:eastAsia="Times New Roman" w:hAnsi="Times New Roman" w:cs="Times New Roman"/>
          <w:lang w:val="en-US"/>
        </w:rPr>
      </w:pPr>
      <w:r>
        <w:rPr>
          <w:rFonts w:ascii="Times New Roman" w:eastAsia="Times New Roman" w:hAnsi="Times New Roman" w:cs="Times New Roman"/>
        </w:rPr>
        <w:t xml:space="preserve">Messiaen, O. (1993). </w:t>
      </w:r>
      <w:r>
        <w:rPr>
          <w:rFonts w:ascii="Times New Roman" w:eastAsia="Times New Roman" w:hAnsi="Times New Roman" w:cs="Times New Roman"/>
          <w:i/>
          <w:iCs/>
        </w:rPr>
        <w:t>Técnica de mi lenguaje musical</w:t>
      </w:r>
      <w:r>
        <w:rPr>
          <w:rFonts w:ascii="Times New Roman" w:eastAsia="Times New Roman" w:hAnsi="Times New Roman" w:cs="Times New Roman"/>
        </w:rPr>
        <w:t xml:space="preserve">. </w:t>
      </w:r>
      <w:r w:rsidRPr="00F24E28">
        <w:rPr>
          <w:rFonts w:ascii="Times New Roman" w:eastAsia="Times New Roman" w:hAnsi="Times New Roman" w:cs="Times New Roman"/>
          <w:lang w:val="en-US"/>
        </w:rPr>
        <w:t>Alphonse Leduc.</w:t>
      </w:r>
    </w:p>
    <w:p w14:paraId="204DD50B" w14:textId="77777777" w:rsidR="002360C3" w:rsidRPr="00F24E28" w:rsidRDefault="002360C3">
      <w:pPr>
        <w:spacing w:line="276" w:lineRule="auto"/>
        <w:ind w:left="566" w:hanging="566"/>
        <w:jc w:val="both"/>
        <w:rPr>
          <w:rFonts w:ascii="Times New Roman" w:eastAsia="Times New Roman" w:hAnsi="Times New Roman" w:cs="Times New Roman"/>
          <w:lang w:val="en-US"/>
        </w:rPr>
      </w:pPr>
    </w:p>
    <w:p w14:paraId="64F2D7B1" w14:textId="77777777" w:rsidR="002360C3" w:rsidRPr="00F24E28" w:rsidRDefault="00000000">
      <w:pPr>
        <w:spacing w:line="276" w:lineRule="auto"/>
        <w:ind w:left="566" w:hanging="566"/>
        <w:jc w:val="both"/>
        <w:rPr>
          <w:rFonts w:ascii="Times New Roman" w:eastAsia="Times New Roman" w:hAnsi="Times New Roman" w:cs="Times New Roman"/>
          <w:lang w:val="en-US"/>
        </w:rPr>
      </w:pPr>
      <w:r w:rsidRPr="00F24E28">
        <w:rPr>
          <w:rFonts w:ascii="Times New Roman" w:eastAsia="Times New Roman" w:hAnsi="Times New Roman" w:cs="Times New Roman"/>
          <w:lang w:val="en-US"/>
        </w:rPr>
        <w:t xml:space="preserve">Miller, R. (1996). </w:t>
      </w:r>
      <w:r w:rsidRPr="00F24E28">
        <w:rPr>
          <w:rFonts w:ascii="Times New Roman" w:eastAsia="Times New Roman" w:hAnsi="Times New Roman" w:cs="Times New Roman"/>
          <w:i/>
          <w:iCs/>
          <w:lang w:val="en-US"/>
        </w:rPr>
        <w:t>Modal jazz composition &amp; harmony</w:t>
      </w:r>
      <w:r w:rsidRPr="00F24E28">
        <w:rPr>
          <w:rFonts w:ascii="Times New Roman" w:eastAsia="Times New Roman" w:hAnsi="Times New Roman" w:cs="Times New Roman"/>
          <w:lang w:val="en-US"/>
        </w:rPr>
        <w:t xml:space="preserve"> (Vol. 1). Advance Music.</w:t>
      </w:r>
    </w:p>
    <w:p w14:paraId="53499331" w14:textId="77777777" w:rsidR="002360C3" w:rsidRPr="00F24E28" w:rsidRDefault="002360C3">
      <w:pPr>
        <w:spacing w:line="276" w:lineRule="auto"/>
        <w:ind w:left="566" w:hanging="566"/>
        <w:jc w:val="both"/>
        <w:rPr>
          <w:rFonts w:ascii="Times New Roman" w:eastAsia="Times New Roman" w:hAnsi="Times New Roman" w:cs="Times New Roman"/>
          <w:lang w:val="en-US"/>
        </w:rPr>
      </w:pPr>
    </w:p>
    <w:p w14:paraId="48A09C3C" w14:textId="77777777" w:rsidR="002360C3" w:rsidRDefault="00000000">
      <w:pPr>
        <w:spacing w:line="276" w:lineRule="auto"/>
        <w:ind w:left="566" w:hanging="566"/>
        <w:jc w:val="both"/>
        <w:rPr>
          <w:rFonts w:ascii="Times New Roman" w:eastAsia="Times New Roman" w:hAnsi="Times New Roman" w:cs="Times New Roman"/>
        </w:rPr>
      </w:pPr>
      <w:r w:rsidRPr="00F24E28">
        <w:rPr>
          <w:rFonts w:ascii="Times New Roman" w:eastAsia="Times New Roman" w:hAnsi="Times New Roman" w:cs="Times New Roman"/>
          <w:lang w:val="en-US"/>
        </w:rPr>
        <w:t>Palmer, S. E., Schloss, K. B., Xu, Z., &amp; Prado</w:t>
      </w:r>
      <w:r w:rsidRPr="00F24E28">
        <w:rPr>
          <w:rFonts w:ascii="Times New Roman" w:eastAsia="Times New Roman" w:hAnsi="Times New Roman" w:cs="Times New Roman"/>
          <w:i/>
          <w:iCs/>
          <w:lang w:val="en-US"/>
        </w:rPr>
        <w:t>–</w:t>
      </w:r>
      <w:r w:rsidRPr="00F24E28">
        <w:rPr>
          <w:rFonts w:ascii="Times New Roman" w:eastAsia="Times New Roman" w:hAnsi="Times New Roman" w:cs="Times New Roman"/>
          <w:lang w:val="en-US"/>
        </w:rPr>
        <w:t>León, L. R. (2013). Music</w:t>
      </w:r>
      <w:r w:rsidRPr="00F24E28">
        <w:rPr>
          <w:rFonts w:ascii="Times New Roman" w:eastAsia="Times New Roman" w:hAnsi="Times New Roman" w:cs="Times New Roman"/>
          <w:i/>
          <w:iCs/>
          <w:lang w:val="en-US"/>
        </w:rPr>
        <w:t>–</w:t>
      </w:r>
      <w:r w:rsidRPr="00F24E28">
        <w:rPr>
          <w:rFonts w:ascii="Times New Roman" w:eastAsia="Times New Roman" w:hAnsi="Times New Roman" w:cs="Times New Roman"/>
          <w:lang w:val="en-US"/>
        </w:rPr>
        <w:t xml:space="preserve">color associations are mediated by emotion. </w:t>
      </w:r>
      <w:r w:rsidRPr="00F24E28">
        <w:rPr>
          <w:rFonts w:ascii="Times New Roman" w:eastAsia="Times New Roman" w:hAnsi="Times New Roman" w:cs="Times New Roman"/>
          <w:i/>
          <w:iCs/>
          <w:lang w:val="en-US"/>
        </w:rPr>
        <w:t>Proceedings of the National Academy of Sciences, 110</w:t>
      </w:r>
      <w:r w:rsidRPr="00F24E28">
        <w:rPr>
          <w:rFonts w:ascii="Times New Roman" w:eastAsia="Times New Roman" w:hAnsi="Times New Roman" w:cs="Times New Roman"/>
          <w:lang w:val="en-US"/>
        </w:rPr>
        <w:t>(22), 8836</w:t>
      </w:r>
      <w:r w:rsidRPr="00F24E28">
        <w:rPr>
          <w:rFonts w:ascii="Times New Roman" w:eastAsia="Times New Roman" w:hAnsi="Times New Roman" w:cs="Times New Roman"/>
          <w:i/>
          <w:iCs/>
          <w:lang w:val="en-US"/>
        </w:rPr>
        <w:t>–</w:t>
      </w:r>
      <w:r w:rsidRPr="00F24E28">
        <w:rPr>
          <w:rFonts w:ascii="Times New Roman" w:eastAsia="Times New Roman" w:hAnsi="Times New Roman" w:cs="Times New Roman"/>
          <w:lang w:val="en-US"/>
        </w:rPr>
        <w:t xml:space="preserve">8841. </w:t>
      </w:r>
      <w:hyperlink r:id="rId38">
        <w:r>
          <w:rPr>
            <w:rFonts w:ascii="Times New Roman" w:eastAsia="Times New Roman" w:hAnsi="Times New Roman" w:cs="Times New Roman"/>
            <w:color w:val="1155CC"/>
            <w:u w:val="single"/>
          </w:rPr>
          <w:t>https://doi.org/10.1073/pnas.1212562110</w:t>
        </w:r>
      </w:hyperlink>
    </w:p>
    <w:p w14:paraId="5496970B" w14:textId="77777777" w:rsidR="002360C3" w:rsidRDefault="002360C3">
      <w:pPr>
        <w:spacing w:line="276" w:lineRule="auto"/>
        <w:ind w:left="566" w:hanging="566"/>
        <w:jc w:val="both"/>
        <w:rPr>
          <w:rFonts w:ascii="Times New Roman" w:eastAsia="Times New Roman" w:hAnsi="Times New Roman" w:cs="Times New Roman"/>
        </w:rPr>
      </w:pPr>
    </w:p>
    <w:p w14:paraId="302D5464" w14:textId="77777777" w:rsidR="002360C3" w:rsidRDefault="00000000">
      <w:pPr>
        <w:spacing w:line="276" w:lineRule="auto"/>
        <w:ind w:left="566" w:hanging="566"/>
        <w:jc w:val="both"/>
        <w:rPr>
          <w:rFonts w:ascii="Times New Roman" w:eastAsia="Times New Roman" w:hAnsi="Times New Roman" w:cs="Times New Roman"/>
        </w:rPr>
      </w:pPr>
      <w:r>
        <w:rPr>
          <w:rFonts w:ascii="Times New Roman" w:eastAsia="Times New Roman" w:hAnsi="Times New Roman" w:cs="Times New Roman"/>
        </w:rPr>
        <w:t xml:space="preserve">Pérez Fuster, J., &amp; Gilabert Pérez, E. (2010). Color y música: relaciones físicas entre tonos de color y notas musicales. En </w:t>
      </w:r>
      <w:r>
        <w:rPr>
          <w:rFonts w:ascii="Times New Roman" w:eastAsia="Times New Roman" w:hAnsi="Times New Roman" w:cs="Times New Roman"/>
          <w:i/>
          <w:iCs/>
        </w:rPr>
        <w:t xml:space="preserve">IX Congreso Nacional del Color: Alicante, 29 y 30 de </w:t>
      </w:r>
      <w:r>
        <w:rPr>
          <w:rFonts w:ascii="Times New Roman" w:eastAsia="Times New Roman" w:hAnsi="Times New Roman" w:cs="Times New Roman"/>
          <w:i/>
          <w:iCs/>
        </w:rPr>
        <w:lastRenderedPageBreak/>
        <w:t>junio, 1 y 2 de julio de 2010</w:t>
      </w:r>
      <w:r>
        <w:rPr>
          <w:rFonts w:ascii="Times New Roman" w:eastAsia="Times New Roman" w:hAnsi="Times New Roman" w:cs="Times New Roman"/>
        </w:rPr>
        <w:t xml:space="preserve"> (pp. 445</w:t>
      </w:r>
      <w:r>
        <w:rPr>
          <w:rFonts w:ascii="Times New Roman" w:eastAsia="Times New Roman" w:hAnsi="Times New Roman" w:cs="Times New Roman"/>
          <w:i/>
          <w:iCs/>
        </w:rPr>
        <w:t>–</w:t>
      </w:r>
      <w:r>
        <w:rPr>
          <w:rFonts w:ascii="Times New Roman" w:eastAsia="Times New Roman" w:hAnsi="Times New Roman" w:cs="Times New Roman"/>
        </w:rPr>
        <w:t>448). Publicaciones de la Universidad de Alicante.</w:t>
      </w:r>
    </w:p>
    <w:p w14:paraId="560B6089" w14:textId="77777777" w:rsidR="002360C3" w:rsidRDefault="002360C3">
      <w:pPr>
        <w:spacing w:line="276" w:lineRule="auto"/>
        <w:ind w:left="566" w:hanging="566"/>
        <w:jc w:val="both"/>
        <w:rPr>
          <w:rFonts w:ascii="Times New Roman" w:eastAsia="Times New Roman" w:hAnsi="Times New Roman" w:cs="Times New Roman"/>
        </w:rPr>
      </w:pPr>
    </w:p>
    <w:p w14:paraId="0D834A4E" w14:textId="77777777" w:rsidR="002360C3" w:rsidRPr="00F24E28" w:rsidRDefault="00000000">
      <w:pPr>
        <w:spacing w:line="276" w:lineRule="auto"/>
        <w:ind w:left="566" w:hanging="566"/>
        <w:jc w:val="both"/>
        <w:rPr>
          <w:rFonts w:ascii="Times New Roman" w:eastAsia="Times New Roman" w:hAnsi="Times New Roman" w:cs="Times New Roman"/>
          <w:lang w:val="en-US"/>
        </w:rPr>
      </w:pPr>
      <w:r>
        <w:rPr>
          <w:rFonts w:ascii="Times New Roman" w:eastAsia="Times New Roman" w:hAnsi="Times New Roman" w:cs="Times New Roman"/>
        </w:rPr>
        <w:t xml:space="preserve">Persichetti, V. (1995). </w:t>
      </w:r>
      <w:r>
        <w:rPr>
          <w:rFonts w:ascii="Times New Roman" w:eastAsia="Times New Roman" w:hAnsi="Times New Roman" w:cs="Times New Roman"/>
          <w:i/>
          <w:iCs/>
        </w:rPr>
        <w:t>Armonía del siglo XX</w:t>
      </w:r>
      <w:r>
        <w:rPr>
          <w:rFonts w:ascii="Times New Roman" w:eastAsia="Times New Roman" w:hAnsi="Times New Roman" w:cs="Times New Roman"/>
        </w:rPr>
        <w:t xml:space="preserve"> (A. B. Maraver, A. R. A. Sorrosal, &amp; A. S. Santos, Trads.). </w:t>
      </w:r>
      <w:r w:rsidRPr="00F24E28">
        <w:rPr>
          <w:rFonts w:ascii="Times New Roman" w:eastAsia="Times New Roman" w:hAnsi="Times New Roman" w:cs="Times New Roman"/>
          <w:lang w:val="en-US"/>
        </w:rPr>
        <w:t>Real Musical.</w:t>
      </w:r>
    </w:p>
    <w:p w14:paraId="00C64059" w14:textId="77777777" w:rsidR="002360C3" w:rsidRPr="00F24E28" w:rsidRDefault="002360C3">
      <w:pPr>
        <w:spacing w:line="276" w:lineRule="auto"/>
        <w:ind w:left="566" w:hanging="566"/>
        <w:jc w:val="both"/>
        <w:rPr>
          <w:rFonts w:ascii="Times New Roman" w:eastAsia="Times New Roman" w:hAnsi="Times New Roman" w:cs="Times New Roman"/>
          <w:lang w:val="en-US"/>
        </w:rPr>
      </w:pPr>
    </w:p>
    <w:p w14:paraId="509F37AD" w14:textId="77777777" w:rsidR="002360C3" w:rsidRPr="00F24E28" w:rsidRDefault="00000000">
      <w:pPr>
        <w:spacing w:line="276" w:lineRule="auto"/>
        <w:ind w:left="566" w:hanging="566"/>
        <w:jc w:val="both"/>
        <w:rPr>
          <w:rFonts w:ascii="Times New Roman" w:eastAsia="Times New Roman" w:hAnsi="Times New Roman" w:cs="Times New Roman"/>
          <w:lang w:val="en-US"/>
        </w:rPr>
      </w:pPr>
      <w:r w:rsidRPr="00F24E28">
        <w:rPr>
          <w:rFonts w:ascii="Times New Roman" w:eastAsia="Times New Roman" w:hAnsi="Times New Roman" w:cs="Times New Roman"/>
          <w:lang w:val="en-US"/>
        </w:rPr>
        <w:t>Saitis, C., &amp; Siedenburg, K. (2020). Brightness perception for musical instrument sounds: Relation to timbre dissimilarity and source</w:t>
      </w:r>
      <w:r w:rsidRPr="00F24E28">
        <w:rPr>
          <w:rFonts w:ascii="Times New Roman" w:eastAsia="Times New Roman" w:hAnsi="Times New Roman" w:cs="Times New Roman"/>
          <w:i/>
          <w:iCs/>
          <w:lang w:val="en-US"/>
        </w:rPr>
        <w:t>–</w:t>
      </w:r>
      <w:r w:rsidRPr="00F24E28">
        <w:rPr>
          <w:rFonts w:ascii="Times New Roman" w:eastAsia="Times New Roman" w:hAnsi="Times New Roman" w:cs="Times New Roman"/>
          <w:lang w:val="en-US"/>
        </w:rPr>
        <w:t xml:space="preserve">cause categories. </w:t>
      </w:r>
      <w:r w:rsidRPr="00F24E28">
        <w:rPr>
          <w:rFonts w:ascii="Times New Roman" w:eastAsia="Times New Roman" w:hAnsi="Times New Roman" w:cs="Times New Roman"/>
          <w:i/>
          <w:iCs/>
          <w:lang w:val="en-US"/>
        </w:rPr>
        <w:t>The Journal of the Acoustical Society of America, 148</w:t>
      </w:r>
      <w:r w:rsidRPr="00F24E28">
        <w:rPr>
          <w:rFonts w:ascii="Times New Roman" w:eastAsia="Times New Roman" w:hAnsi="Times New Roman" w:cs="Times New Roman"/>
          <w:lang w:val="en-US"/>
        </w:rPr>
        <w:t xml:space="preserve">(4), 2256–2266. </w:t>
      </w:r>
      <w:hyperlink r:id="rId39">
        <w:r w:rsidRPr="00F24E28">
          <w:rPr>
            <w:rFonts w:ascii="Times New Roman" w:eastAsia="Times New Roman" w:hAnsi="Times New Roman" w:cs="Times New Roman"/>
            <w:color w:val="1155CC"/>
            <w:u w:val="single"/>
            <w:lang w:val="en-US"/>
          </w:rPr>
          <w:t>https://doi.org/10.1121/10.0002275</w:t>
        </w:r>
      </w:hyperlink>
    </w:p>
    <w:p w14:paraId="0727BB2C" w14:textId="77777777" w:rsidR="002360C3" w:rsidRPr="00F24E28" w:rsidRDefault="002360C3">
      <w:pPr>
        <w:spacing w:line="276" w:lineRule="auto"/>
        <w:ind w:left="566" w:hanging="566"/>
        <w:jc w:val="both"/>
        <w:rPr>
          <w:rFonts w:ascii="Times New Roman" w:eastAsia="Times New Roman" w:hAnsi="Times New Roman" w:cs="Times New Roman"/>
          <w:lang w:val="en-US"/>
        </w:rPr>
      </w:pPr>
    </w:p>
    <w:p w14:paraId="1A444554" w14:textId="77777777" w:rsidR="002360C3" w:rsidRDefault="00000000">
      <w:pPr>
        <w:spacing w:line="276" w:lineRule="auto"/>
        <w:ind w:left="566" w:hanging="566"/>
        <w:jc w:val="both"/>
        <w:rPr>
          <w:rFonts w:ascii="Times New Roman" w:eastAsia="Times New Roman" w:hAnsi="Times New Roman" w:cs="Times New Roman"/>
        </w:rPr>
      </w:pPr>
      <w:r>
        <w:rPr>
          <w:rFonts w:ascii="Times New Roman" w:eastAsia="Times New Roman" w:hAnsi="Times New Roman" w:cs="Times New Roman"/>
        </w:rPr>
        <w:t xml:space="preserve">Schubart, C. F. D. (1806). </w:t>
      </w:r>
      <w:r>
        <w:rPr>
          <w:rFonts w:ascii="Times New Roman" w:eastAsia="Times New Roman" w:hAnsi="Times New Roman" w:cs="Times New Roman"/>
          <w:i/>
          <w:iCs/>
        </w:rPr>
        <w:t>Ideen zu einer Ästhetik der Tonkunst</w:t>
      </w:r>
      <w:r>
        <w:rPr>
          <w:rFonts w:ascii="Times New Roman" w:eastAsia="Times New Roman" w:hAnsi="Times New Roman" w:cs="Times New Roman"/>
        </w:rPr>
        <w:t xml:space="preserve"> [Ideas sobre una estética de la música] (L. A. Schubart, Ed.). J. V. Degen.</w:t>
      </w:r>
    </w:p>
    <w:p w14:paraId="48245FC9" w14:textId="77777777" w:rsidR="002360C3" w:rsidRDefault="002360C3">
      <w:pPr>
        <w:spacing w:line="276" w:lineRule="auto"/>
        <w:ind w:left="566" w:hanging="566"/>
        <w:jc w:val="both"/>
        <w:rPr>
          <w:rFonts w:ascii="Times New Roman" w:eastAsia="Times New Roman" w:hAnsi="Times New Roman" w:cs="Times New Roman"/>
        </w:rPr>
      </w:pPr>
    </w:p>
    <w:p w14:paraId="367B8BAB" w14:textId="77777777" w:rsidR="002360C3" w:rsidRPr="00F24E28" w:rsidRDefault="00000000">
      <w:pPr>
        <w:spacing w:line="276" w:lineRule="auto"/>
        <w:ind w:left="566" w:hanging="566"/>
        <w:jc w:val="both"/>
        <w:rPr>
          <w:rFonts w:ascii="Times New Roman" w:eastAsia="Times New Roman" w:hAnsi="Times New Roman" w:cs="Times New Roman"/>
          <w:b/>
          <w:bCs/>
          <w:lang w:val="en-US"/>
        </w:rPr>
      </w:pPr>
      <w:r w:rsidRPr="00F24E28">
        <w:rPr>
          <w:rFonts w:ascii="Times New Roman" w:eastAsia="Times New Roman" w:hAnsi="Times New Roman" w:cs="Times New Roman"/>
          <w:lang w:val="en-US"/>
        </w:rPr>
        <w:t xml:space="preserve">Tsang, T., &amp; Schloss, K. B. (2010). Associations between color and music are mediated by emotion and influenced by tempo. </w:t>
      </w:r>
      <w:r w:rsidRPr="00F24E28">
        <w:rPr>
          <w:rFonts w:ascii="Times New Roman" w:eastAsia="Times New Roman" w:hAnsi="Times New Roman" w:cs="Times New Roman"/>
          <w:i/>
          <w:iCs/>
          <w:lang w:val="en-US"/>
        </w:rPr>
        <w:t>The Yale Review of Undergraduate Research in Psychology</w:t>
      </w:r>
      <w:r w:rsidRPr="00F24E28">
        <w:rPr>
          <w:rFonts w:ascii="Times New Roman" w:eastAsia="Times New Roman" w:hAnsi="Times New Roman" w:cs="Times New Roman"/>
          <w:lang w:val="en-US"/>
        </w:rPr>
        <w:t>, 82</w:t>
      </w:r>
      <w:r w:rsidRPr="00F24E28">
        <w:rPr>
          <w:rFonts w:ascii="Times New Roman" w:eastAsia="Times New Roman" w:hAnsi="Times New Roman" w:cs="Times New Roman"/>
          <w:i/>
          <w:iCs/>
          <w:lang w:val="en-US"/>
        </w:rPr>
        <w:t>–</w:t>
      </w:r>
      <w:r w:rsidRPr="00F24E28">
        <w:rPr>
          <w:rFonts w:ascii="Times New Roman" w:eastAsia="Times New Roman" w:hAnsi="Times New Roman" w:cs="Times New Roman"/>
          <w:lang w:val="en-US"/>
        </w:rPr>
        <w:t xml:space="preserve">89. </w:t>
      </w:r>
      <w:hyperlink r:id="rId40">
        <w:r w:rsidRPr="00F24E28">
          <w:rPr>
            <w:rFonts w:ascii="Times New Roman" w:eastAsia="Times New Roman" w:hAnsi="Times New Roman" w:cs="Times New Roman"/>
            <w:color w:val="1155CC"/>
            <w:u w:val="single"/>
            <w:lang w:val="en-US"/>
          </w:rPr>
          <w:t>https://doi.org/10.1037/e525772013-006</w:t>
        </w:r>
      </w:hyperlink>
    </w:p>
    <w:p w14:paraId="3CA9FD4E" w14:textId="77777777" w:rsidR="002360C3" w:rsidRPr="00F24E28" w:rsidRDefault="002360C3">
      <w:pPr>
        <w:spacing w:line="276" w:lineRule="auto"/>
        <w:rPr>
          <w:rFonts w:ascii="Times New Roman" w:eastAsia="Times New Roman" w:hAnsi="Times New Roman" w:cs="Times New Roman"/>
          <w:b/>
          <w:bCs/>
          <w:lang w:val="en-US"/>
        </w:rPr>
      </w:pPr>
    </w:p>
    <w:p w14:paraId="60677F89" w14:textId="77777777" w:rsidR="002360C3" w:rsidRPr="00F24E28" w:rsidRDefault="00000000">
      <w:pPr>
        <w:spacing w:line="276" w:lineRule="auto"/>
        <w:rPr>
          <w:rFonts w:ascii="Times New Roman" w:eastAsia="Times New Roman" w:hAnsi="Times New Roman" w:cs="Times New Roman"/>
          <w:b/>
          <w:bCs/>
          <w:lang w:val="en-US"/>
        </w:rPr>
      </w:pPr>
      <w:r w:rsidRPr="00F24E28">
        <w:rPr>
          <w:lang w:val="en-US"/>
        </w:rPr>
        <w:br w:type="page"/>
      </w:r>
    </w:p>
    <w:p w14:paraId="7D94A1AD" w14:textId="77777777" w:rsidR="002360C3" w:rsidRPr="00F24E28" w:rsidRDefault="002360C3">
      <w:pPr>
        <w:spacing w:line="276" w:lineRule="auto"/>
        <w:rPr>
          <w:rFonts w:ascii="Times New Roman" w:eastAsia="Times New Roman" w:hAnsi="Times New Roman" w:cs="Times New Roman"/>
          <w:lang w:val="en-US"/>
        </w:rPr>
      </w:pPr>
    </w:p>
    <w:p w14:paraId="4A0B742A" w14:textId="77777777" w:rsidR="002360C3" w:rsidRDefault="00000000">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Anexo </w:t>
      </w:r>
    </w:p>
    <w:p w14:paraId="347454F0" w14:textId="77777777" w:rsidR="002360C3" w:rsidRDefault="002360C3">
      <w:pPr>
        <w:spacing w:line="276" w:lineRule="auto"/>
        <w:jc w:val="center"/>
        <w:rPr>
          <w:rFonts w:ascii="Times New Roman" w:eastAsia="Times New Roman" w:hAnsi="Times New Roman" w:cs="Times New Roman"/>
          <w:b/>
          <w:bCs/>
        </w:rPr>
      </w:pPr>
    </w:p>
    <w:p w14:paraId="6DEB4151" w14:textId="77777777" w:rsidR="002360C3" w:rsidRDefault="00000000">
      <w:pPr>
        <w:spacing w:line="276" w:lineRule="auto"/>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Anexo 1</w:t>
      </w:r>
    </w:p>
    <w:p w14:paraId="7535C139" w14:textId="77777777" w:rsidR="002360C3" w:rsidRDefault="00000000">
      <w:pPr>
        <w:spacing w:line="276" w:lineRule="auto"/>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Amanecer</w:t>
      </w:r>
    </w:p>
    <w:p w14:paraId="2A42B134" w14:textId="77777777" w:rsidR="002360C3" w:rsidRDefault="002360C3">
      <w:pPr>
        <w:spacing w:line="276" w:lineRule="auto"/>
        <w:jc w:val="center"/>
        <w:rPr>
          <w:rFonts w:ascii="Times New Roman" w:eastAsia="Times New Roman" w:hAnsi="Times New Roman" w:cs="Times New Roman"/>
          <w:sz w:val="22"/>
          <w:szCs w:val="22"/>
        </w:rPr>
      </w:pPr>
    </w:p>
    <w:p w14:paraId="5B94D75B" w14:textId="77777777" w:rsidR="002360C3" w:rsidRDefault="00000000">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noProof/>
          <w:sz w:val="22"/>
          <w:szCs w:val="22"/>
        </w:rPr>
        <w:drawing>
          <wp:inline distT="114300" distB="114300" distL="114300" distR="114300" wp14:anchorId="20D1A39D" wp14:editId="257E9195">
            <wp:extent cx="3401378" cy="4984627"/>
            <wp:effectExtent l="0" t="0" r="0" b="0"/>
            <wp:docPr id="22"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41"/>
                    <a:srcRect l="12713" t="7375" r="16323" b="12481"/>
                    <a:stretch>
                      <a:fillRect/>
                    </a:stretch>
                  </pic:blipFill>
                  <pic:spPr>
                    <a:xfrm>
                      <a:off x="0" y="0"/>
                      <a:ext cx="3401378" cy="4984627"/>
                    </a:xfrm>
                    <a:prstGeom prst="rect">
                      <a:avLst/>
                    </a:prstGeom>
                    <a:ln/>
                  </pic:spPr>
                </pic:pic>
              </a:graphicData>
            </a:graphic>
          </wp:inline>
        </w:drawing>
      </w:r>
      <w:r>
        <w:rPr>
          <w:noProof/>
        </w:rPr>
        <w:drawing>
          <wp:anchor distT="114300" distB="114300" distL="114300" distR="114300" simplePos="0" relativeHeight="251659264" behindDoc="0" locked="0" layoutInCell="1" hidden="0" allowOverlap="1" wp14:anchorId="03A3C8EA" wp14:editId="3D5F6CEF">
            <wp:simplePos x="0" y="0"/>
            <wp:positionH relativeFrom="column">
              <wp:posOffset>3667125</wp:posOffset>
            </wp:positionH>
            <wp:positionV relativeFrom="paragraph">
              <wp:posOffset>4314825</wp:posOffset>
            </wp:positionV>
            <wp:extent cx="467678" cy="467678"/>
            <wp:effectExtent l="0" t="0" r="0" b="0"/>
            <wp:wrapSquare wrapText="bothSides" distT="114300" distB="114300" distL="114300" distR="114300"/>
            <wp:docPr id="2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2"/>
                    <a:srcRect/>
                    <a:stretch>
                      <a:fillRect/>
                    </a:stretch>
                  </pic:blipFill>
                  <pic:spPr>
                    <a:xfrm>
                      <a:off x="0" y="0"/>
                      <a:ext cx="467678" cy="467678"/>
                    </a:xfrm>
                    <a:prstGeom prst="rect">
                      <a:avLst/>
                    </a:prstGeom>
                    <a:ln/>
                  </pic:spPr>
                </pic:pic>
              </a:graphicData>
            </a:graphic>
          </wp:anchor>
        </w:drawing>
      </w:r>
    </w:p>
    <w:p w14:paraId="78169220" w14:textId="77777777" w:rsidR="002360C3"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i/>
          <w:iCs/>
          <w:sz w:val="18"/>
          <w:szCs w:val="18"/>
        </w:rPr>
        <w:t xml:space="preserve">Nota. </w:t>
      </w:r>
      <w:r>
        <w:rPr>
          <w:rFonts w:ascii="Times New Roman" w:eastAsia="Times New Roman" w:hAnsi="Times New Roman" w:cs="Times New Roman"/>
          <w:sz w:val="18"/>
          <w:szCs w:val="18"/>
        </w:rPr>
        <w:t>Las partituras musicales correspondientes a cada movimiento: </w:t>
      </w:r>
      <w:r>
        <w:rPr>
          <w:rFonts w:ascii="Times New Roman" w:eastAsia="Times New Roman" w:hAnsi="Times New Roman" w:cs="Times New Roman"/>
          <w:i/>
          <w:iCs/>
          <w:sz w:val="18"/>
          <w:szCs w:val="18"/>
        </w:rPr>
        <w:t>Amanecer</w:t>
      </w:r>
      <w:r>
        <w:rPr>
          <w:rFonts w:ascii="Times New Roman" w:eastAsia="Times New Roman" w:hAnsi="Times New Roman" w:cs="Times New Roman"/>
          <w:sz w:val="18"/>
          <w:szCs w:val="18"/>
        </w:rPr>
        <w:t>, </w:t>
      </w:r>
      <w:r>
        <w:rPr>
          <w:rFonts w:ascii="Times New Roman" w:eastAsia="Times New Roman" w:hAnsi="Times New Roman" w:cs="Times New Roman"/>
          <w:i/>
          <w:iCs/>
          <w:sz w:val="18"/>
          <w:szCs w:val="18"/>
        </w:rPr>
        <w:t>Mañana</w:t>
      </w:r>
      <w:r>
        <w:rPr>
          <w:rFonts w:ascii="Times New Roman" w:eastAsia="Times New Roman" w:hAnsi="Times New Roman" w:cs="Times New Roman"/>
          <w:sz w:val="18"/>
          <w:szCs w:val="18"/>
        </w:rPr>
        <w:t>, </w:t>
      </w:r>
      <w:r>
        <w:rPr>
          <w:rFonts w:ascii="Times New Roman" w:eastAsia="Times New Roman" w:hAnsi="Times New Roman" w:cs="Times New Roman"/>
          <w:i/>
          <w:iCs/>
          <w:sz w:val="18"/>
          <w:szCs w:val="18"/>
        </w:rPr>
        <w:t>Medio Día</w:t>
      </w:r>
      <w:r>
        <w:rPr>
          <w:rFonts w:ascii="Times New Roman" w:eastAsia="Times New Roman" w:hAnsi="Times New Roman" w:cs="Times New Roman"/>
          <w:sz w:val="18"/>
          <w:szCs w:val="18"/>
        </w:rPr>
        <w:t>, </w:t>
      </w:r>
      <w:r>
        <w:rPr>
          <w:rFonts w:ascii="Times New Roman" w:eastAsia="Times New Roman" w:hAnsi="Times New Roman" w:cs="Times New Roman"/>
          <w:i/>
          <w:iCs/>
          <w:sz w:val="18"/>
          <w:szCs w:val="18"/>
        </w:rPr>
        <w:t>Atardecer</w:t>
      </w:r>
      <w:r>
        <w:rPr>
          <w:rFonts w:ascii="Times New Roman" w:eastAsia="Times New Roman" w:hAnsi="Times New Roman" w:cs="Times New Roman"/>
          <w:sz w:val="18"/>
          <w:szCs w:val="18"/>
        </w:rPr>
        <w:t> y </w:t>
      </w:r>
      <w:r>
        <w:rPr>
          <w:rFonts w:ascii="Times New Roman" w:eastAsia="Times New Roman" w:hAnsi="Times New Roman" w:cs="Times New Roman"/>
          <w:i/>
          <w:iCs/>
          <w:sz w:val="18"/>
          <w:szCs w:val="18"/>
        </w:rPr>
        <w:t>Noche</w:t>
      </w:r>
      <w:r>
        <w:rPr>
          <w:rFonts w:ascii="Times New Roman" w:eastAsia="Times New Roman" w:hAnsi="Times New Roman" w:cs="Times New Roman"/>
          <w:sz w:val="18"/>
          <w:szCs w:val="18"/>
        </w:rPr>
        <w:t xml:space="preserve"> se encuentran en las páginas 54 a 133 del documento original. Debido a la extensión de las partituras de la obra </w:t>
      </w:r>
      <w:r>
        <w:rPr>
          <w:rFonts w:ascii="Times New Roman" w:eastAsia="Times New Roman" w:hAnsi="Times New Roman" w:cs="Times New Roman"/>
          <w:i/>
          <w:iCs/>
          <w:sz w:val="18"/>
          <w:szCs w:val="18"/>
        </w:rPr>
        <w:t>El transcurso de un día soleado en cinco piezas modales</w:t>
      </w:r>
      <w:r>
        <w:rPr>
          <w:rFonts w:ascii="Times New Roman" w:eastAsia="Times New Roman" w:hAnsi="Times New Roman" w:cs="Times New Roman"/>
          <w:sz w:val="18"/>
          <w:szCs w:val="18"/>
        </w:rPr>
        <w:t xml:space="preserve">, los archivos completos se ponen a disposición del lector como material suplementario en línea, disponible para consulta pública. Enlace de acceso: </w:t>
      </w:r>
      <w:hyperlink r:id="rId43">
        <w:r>
          <w:rPr>
            <w:rFonts w:ascii="Times New Roman" w:eastAsia="Times New Roman" w:hAnsi="Times New Roman" w:cs="Times New Roman"/>
            <w:color w:val="1155CC"/>
            <w:sz w:val="18"/>
            <w:szCs w:val="18"/>
            <w:u w:val="single"/>
          </w:rPr>
          <w:t>https://drive.google.com/drive/folders/1sadhEvsp-aw8I6NtpDKA2qX6BiSoOMNQ</w:t>
        </w:r>
      </w:hyperlink>
    </w:p>
    <w:p w14:paraId="14F0CE30" w14:textId="77777777" w:rsidR="002360C3" w:rsidRDefault="002360C3">
      <w:pPr>
        <w:spacing w:line="276" w:lineRule="auto"/>
        <w:jc w:val="both"/>
        <w:rPr>
          <w:rFonts w:ascii="Times New Roman" w:eastAsia="Times New Roman" w:hAnsi="Times New Roman" w:cs="Times New Roman"/>
          <w:sz w:val="18"/>
          <w:szCs w:val="18"/>
        </w:rPr>
      </w:pPr>
    </w:p>
    <w:sectPr w:rsidR="002360C3">
      <w:headerReference w:type="default" r:id="rId44"/>
      <w:footerReference w:type="default" r:id="rId45"/>
      <w:pgSz w:w="12240" w:h="15840"/>
      <w:pgMar w:top="1417" w:right="1701" w:bottom="1417" w:left="1701" w:header="708" w:footer="708"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Antec: Revista Peruana de Investigación Musical" w:date="2026-09-28T11:31:00Z" w:initials="ARPdIM">
    <w:p w14:paraId="76AF5929" w14:textId="77777777" w:rsidR="00F24E28" w:rsidRDefault="00F24E28" w:rsidP="00F24E28">
      <w:r>
        <w:rPr>
          <w:rStyle w:val="Refdecomentario"/>
        </w:rPr>
        <w:annotationRef/>
      </w:r>
      <w:r>
        <w:rPr>
          <w:sz w:val="20"/>
          <w:szCs w:val="20"/>
        </w:rPr>
        <w:t xml:space="preserve">Siempre modificar lo que está colocado en fucsia. Actualizarlo a la fecha, convocatoria, volumen, número y año que está postulando. </w:t>
      </w:r>
    </w:p>
  </w:comment>
  <w:comment w:id="1" w:author="Antec: Revista Peruana de Investigación Musical" w:date="2026-09-28T11:32:00Z" w:initials="ARPdIM">
    <w:p w14:paraId="49875A13" w14:textId="77777777" w:rsidR="00F24E28" w:rsidRDefault="00F24E28" w:rsidP="00F24E28">
      <w:r>
        <w:rPr>
          <w:rStyle w:val="Refdecomentario"/>
        </w:rPr>
        <w:annotationRef/>
      </w:r>
      <w:r>
        <w:rPr>
          <w:sz w:val="20"/>
          <w:szCs w:val="20"/>
        </w:rPr>
        <w:t xml:space="preserve">Este documento tienen los tamaños de las tipografías, márgenes e interlineados. Seguir los lineamientos. </w:t>
      </w:r>
    </w:p>
  </w:comment>
  <w:comment w:id="2" w:author="Antec: Revista Peruana de Investigación Musical" w:date="2026-09-28T11:34:00Z" w:initials="ARPdIM">
    <w:p w14:paraId="6D85EECB" w14:textId="77777777" w:rsidR="00F24E28" w:rsidRDefault="00F24E28" w:rsidP="00F24E28">
      <w:r>
        <w:rPr>
          <w:rStyle w:val="Refdecomentario"/>
        </w:rPr>
        <w:annotationRef/>
      </w:r>
      <w:r>
        <w:rPr>
          <w:sz w:val="20"/>
          <w:szCs w:val="20"/>
        </w:rPr>
        <w:t xml:space="preserve">Completar y no omitir las secciones como Afiliación, sino no tienes, se coloca Investigador Independiente y colocas la ciudad, región y país de donde resides actualmente. Si, sí tienes afliación colocar la localidad de la institución. </w:t>
      </w:r>
    </w:p>
  </w:comment>
  <w:comment w:id="3" w:author="Antec: Revista Peruana de Investigación Musical" w:date="2026-09-28T11:35:00Z" w:initials="ARPdIM">
    <w:p w14:paraId="2A2B195B" w14:textId="77777777" w:rsidR="00F24E28" w:rsidRDefault="00F24E28" w:rsidP="00F24E28">
      <w:r>
        <w:rPr>
          <w:rStyle w:val="Refdecomentario"/>
        </w:rPr>
        <w:annotationRef/>
      </w:r>
      <w:r>
        <w:rPr>
          <w:sz w:val="20"/>
          <w:szCs w:val="20"/>
        </w:rPr>
        <w:t xml:space="preserve">Es obligatorio presentar el link de ORCID. Si no tienes debes crearte una cuenta. </w:t>
      </w:r>
    </w:p>
  </w:comment>
  <w:comment w:id="4" w:author="Antec: Revista Peruana de Investigación Musical" w:date="2026-09-28T11:36:00Z" w:initials="ARPdIM">
    <w:p w14:paraId="75DDBD32" w14:textId="77777777" w:rsidR="00F24E28" w:rsidRDefault="00F24E28" w:rsidP="00F24E28">
      <w:r>
        <w:rPr>
          <w:rStyle w:val="Refdecomentario"/>
        </w:rPr>
        <w:annotationRef/>
      </w:r>
      <w:r>
        <w:rPr>
          <w:sz w:val="20"/>
          <w:szCs w:val="20"/>
        </w:rPr>
        <w:t xml:space="preserve">200 palabras max. </w:t>
      </w:r>
    </w:p>
  </w:comment>
  <w:comment w:id="5" w:author="Antec: Revista Peruana de Investigación Musical" w:date="2026-09-28T11:36:00Z" w:initials="ARPdIM">
    <w:p w14:paraId="1A344B10" w14:textId="77777777" w:rsidR="00F24E28" w:rsidRDefault="00F24E28" w:rsidP="00F24E28">
      <w:r>
        <w:rPr>
          <w:rStyle w:val="Refdecomentario"/>
        </w:rPr>
        <w:annotationRef/>
      </w:r>
      <w:r>
        <w:rPr>
          <w:sz w:val="20"/>
          <w:szCs w:val="20"/>
        </w:rPr>
        <w:t xml:space="preserve">Estos son los guiónes largos que seguimos. </w:t>
      </w:r>
    </w:p>
  </w:comment>
  <w:comment w:id="6" w:author="Antec: Revista Peruana de Investigación Musical" w:date="2026-09-28T11:49:00Z" w:initials="ARPdIM">
    <w:p w14:paraId="789E8AE4" w14:textId="77777777" w:rsidR="006D4F2F" w:rsidRDefault="006D4F2F" w:rsidP="006D4F2F">
      <w:r>
        <w:rPr>
          <w:rStyle w:val="Refdecomentario"/>
        </w:rPr>
        <w:annotationRef/>
      </w:r>
      <w:r>
        <w:rPr>
          <w:sz w:val="20"/>
          <w:szCs w:val="20"/>
        </w:rPr>
        <w:t>Este es el guión corto que utilizamos.</w:t>
      </w:r>
    </w:p>
  </w:comment>
  <w:comment w:id="7" w:author="Antec: Revista Peruana de Investigación Musical" w:date="2026-09-28T11:50:00Z" w:initials="ARPdIM">
    <w:p w14:paraId="7FA6515E" w14:textId="77777777" w:rsidR="006D4F2F" w:rsidRDefault="006D4F2F" w:rsidP="006D4F2F">
      <w:r>
        <w:rPr>
          <w:rStyle w:val="Refdecomentario"/>
        </w:rPr>
        <w:annotationRef/>
      </w:r>
      <w:r>
        <w:rPr>
          <w:sz w:val="20"/>
          <w:szCs w:val="20"/>
        </w:rPr>
        <w:t xml:space="preserve">El Equipo Editorial lo completa. </w:t>
      </w:r>
    </w:p>
  </w:comment>
  <w:comment w:id="8" w:author="Antec: Revista Peruana de Investigación Musical" w:date="2026-09-28T12:15:00Z" w:initials="ARPdIM">
    <w:p w14:paraId="2DF70A64" w14:textId="77777777" w:rsidR="00863F61" w:rsidRDefault="00863F61" w:rsidP="00863F61">
      <w:r>
        <w:rPr>
          <w:rStyle w:val="Refdecomentario"/>
        </w:rPr>
        <w:annotationRef/>
      </w:r>
      <w:r>
        <w:rPr>
          <w:sz w:val="20"/>
          <w:szCs w:val="20"/>
        </w:rPr>
        <w:t>Aquí no va sangría</w:t>
      </w:r>
    </w:p>
  </w:comment>
  <w:comment w:id="9" w:author="Antec: Revista Peruana de Investigación Musical" w:date="2026-09-28T11:52:00Z" w:initials="ARPdIM">
    <w:p w14:paraId="7AC540A3" w14:textId="77777777" w:rsidR="006D4F2F" w:rsidRDefault="006D4F2F" w:rsidP="006D4F2F">
      <w:r>
        <w:rPr>
          <w:rStyle w:val="Refdecomentario"/>
        </w:rPr>
        <w:annotationRef/>
      </w:r>
      <w:r>
        <w:rPr>
          <w:sz w:val="20"/>
          <w:szCs w:val="20"/>
        </w:rPr>
        <w:t xml:space="preserve">Si no es una cita textual, no colocar las página solo el autor y el año. </w:t>
      </w:r>
    </w:p>
  </w:comment>
  <w:comment w:id="10" w:author="Antec: Revista Peruana de Investigación Musical" w:date="2026-09-28T12:16:00Z" w:initials="ARPdIM">
    <w:p w14:paraId="3C3C9242" w14:textId="77777777" w:rsidR="00863F61" w:rsidRDefault="00863F61" w:rsidP="00863F61">
      <w:r>
        <w:rPr>
          <w:rStyle w:val="Refdecomentario"/>
        </w:rPr>
        <w:annotationRef/>
      </w:r>
      <w:r>
        <w:rPr>
          <w:sz w:val="20"/>
          <w:szCs w:val="20"/>
        </w:rPr>
        <w:t xml:space="preserve">A partir del segundom párrafo de cada sección va sangría y luego los demás párrafos. </w:t>
      </w:r>
    </w:p>
  </w:comment>
  <w:comment w:id="11" w:author="Antec: Revista Peruana de Investigación Musical" w:date="2026-09-28T11:53:00Z" w:initials="ARPdIM">
    <w:p w14:paraId="47E72ACE" w14:textId="77777777" w:rsidR="006D4F2F" w:rsidRDefault="006D4F2F" w:rsidP="006D4F2F">
      <w:r>
        <w:rPr>
          <w:rStyle w:val="Refdecomentario"/>
        </w:rPr>
        <w:annotationRef/>
      </w:r>
      <w:r>
        <w:rPr>
          <w:sz w:val="20"/>
          <w:szCs w:val="20"/>
        </w:rPr>
        <w:t xml:space="preserve">Citado textual con comillas, autor,año, página. </w:t>
      </w:r>
    </w:p>
  </w:comment>
  <w:comment w:id="12" w:author="Antec: Revista Peruana de Investigación Musical" w:date="2026-09-28T12:17:00Z" w:initials="ARPdIM">
    <w:p w14:paraId="015E3120" w14:textId="77777777" w:rsidR="00863F61" w:rsidRDefault="00863F61" w:rsidP="00863F61">
      <w:r>
        <w:rPr>
          <w:rStyle w:val="Refdecomentario"/>
        </w:rPr>
        <w:annotationRef/>
      </w:r>
      <w:r>
        <w:rPr>
          <w:sz w:val="20"/>
          <w:szCs w:val="20"/>
        </w:rPr>
        <w:t xml:space="preserve">El tamaño 11 con sangría y siempre dejando un reglón entre párrafo y cita. </w:t>
      </w:r>
    </w:p>
  </w:comment>
  <w:comment w:id="13" w:author="Antec: Revista Peruana de Investigación Musical" w:date="2026-09-28T11:54:00Z" w:initials="ARPdIM">
    <w:p w14:paraId="3BCE29F9" w14:textId="77777777" w:rsidR="006D4F2F" w:rsidRDefault="006D4F2F" w:rsidP="006D4F2F">
      <w:r>
        <w:rPr>
          <w:rStyle w:val="Refdecomentario"/>
        </w:rPr>
        <w:annotationRef/>
      </w:r>
      <w:r>
        <w:rPr>
          <w:sz w:val="20"/>
          <w:szCs w:val="20"/>
        </w:rPr>
        <w:t xml:space="preserve">Todas las notas musicales van en cursiva. Debes colocalo antes de entregar el texto. </w:t>
      </w:r>
    </w:p>
  </w:comment>
  <w:comment w:id="14" w:author="Antec: Revista Peruana de Investigación Musical" w:date="2026-09-28T12:19:00Z" w:initials="ARPdIM">
    <w:p w14:paraId="6ED8754A" w14:textId="77777777" w:rsidR="00863F61" w:rsidRDefault="00863F61" w:rsidP="00863F61">
      <w:r>
        <w:rPr>
          <w:rStyle w:val="Refdecomentario"/>
        </w:rPr>
        <w:annotationRef/>
      </w:r>
      <w:r>
        <w:rPr>
          <w:sz w:val="20"/>
          <w:szCs w:val="20"/>
        </w:rPr>
        <w:t>Tamaño 11</w:t>
      </w:r>
    </w:p>
  </w:comment>
  <w:comment w:id="15" w:author="Antec: Revista Peruana de Investigación Musical" w:date="2026-09-28T12:20:00Z" w:initials="ARPdIM">
    <w:p w14:paraId="6B7001EA" w14:textId="77777777" w:rsidR="00863F61" w:rsidRDefault="00863F61" w:rsidP="00863F61">
      <w:r>
        <w:rPr>
          <w:rStyle w:val="Refdecomentario"/>
        </w:rPr>
        <w:annotationRef/>
      </w:r>
      <w:r>
        <w:rPr>
          <w:sz w:val="20"/>
          <w:szCs w:val="20"/>
        </w:rPr>
        <w:t>Tamaño 9 y siempre debe colocar primero Nota en cursiva  punto y luego el título o el nombre del autor o alguna descripción</w:t>
      </w:r>
    </w:p>
  </w:comment>
  <w:comment w:id="16" w:author="Revista Antec" w:date="2026-08-19T20:51:00Z" w:initials="">
    <w:p w14:paraId="1433F26E" w14:textId="77777777" w:rsidR="002360C3" w:rsidRDefault="00F24E28">
      <w:pPr>
        <w:widowControl w:val="0"/>
        <w:pBdr>
          <w:top w:val="nil"/>
          <w:left w:val="nil"/>
          <w:bottom w:val="nil"/>
          <w:right w:val="nil"/>
          <w:between w:val="nil"/>
        </w:pBdr>
        <w:rPr>
          <w:rFonts w:ascii="Arial" w:eastAsia="Arial" w:hAnsi="Arial" w:cs="Arial"/>
          <w:color w:val="000000"/>
          <w:sz w:val="22"/>
          <w:szCs w:val="22"/>
        </w:rPr>
      </w:pPr>
      <w:r>
        <w:rPr>
          <w:rStyle w:val="Refdecomentario"/>
        </w:rPr>
        <w:annotationRef/>
      </w:r>
      <w:r w:rsidR="00000000">
        <w:rPr>
          <w:rFonts w:ascii="Arial" w:eastAsia="Arial" w:hAnsi="Arial" w:cs="Arial"/>
          <w:color w:val="000000"/>
          <w:sz w:val="22"/>
          <w:szCs w:val="22"/>
        </w:rPr>
        <w:t>q.</w:t>
      </w:r>
    </w:p>
  </w:comment>
  <w:comment w:id="17" w:author="Antec: Revista Peruana de Investigación Musical" w:date="2026-09-28T12:31:00Z" w:initials="ARPdIM">
    <w:p w14:paraId="782CA4FC" w14:textId="77777777" w:rsidR="007B080C" w:rsidRDefault="007B080C" w:rsidP="007B080C">
      <w:r>
        <w:rPr>
          <w:rStyle w:val="Refdecomentario"/>
        </w:rPr>
        <w:annotationRef/>
      </w:r>
      <w:r>
        <w:rPr>
          <w:sz w:val="20"/>
          <w:szCs w:val="20"/>
        </w:rPr>
        <w:t xml:space="preserve">Colocar las iniciales de tu nombre completo. </w:t>
      </w:r>
    </w:p>
  </w:comment>
  <w:comment w:id="18" w:author="Antec: Revista Peruana de Investigación Musical" w:date="2026-09-28T12:34:00Z" w:initials="ARPdIM">
    <w:p w14:paraId="5A3EA2F9" w14:textId="77777777" w:rsidR="007B080C" w:rsidRDefault="007B080C" w:rsidP="007B080C">
      <w:r>
        <w:rPr>
          <w:rStyle w:val="Refdecomentario"/>
        </w:rPr>
        <w:annotationRef/>
      </w:r>
      <w:r>
        <w:rPr>
          <w:sz w:val="20"/>
          <w:szCs w:val="20"/>
        </w:rPr>
        <w:t xml:space="preserve">Cambiar autor por autora o colocar el nombre de la institución que financió la investigación. </w:t>
      </w:r>
    </w:p>
  </w:comment>
  <w:comment w:id="19" w:author="Antec: Revista Peruana de Investigación Musical" w:date="2026-09-28T12:35:00Z" w:initials="ARPdIM">
    <w:p w14:paraId="4B47E1AD" w14:textId="77777777" w:rsidR="007B080C" w:rsidRDefault="007B080C" w:rsidP="007B080C">
      <w:r>
        <w:rPr>
          <w:rStyle w:val="Refdecomentario"/>
        </w:rPr>
        <w:annotationRef/>
      </w:r>
      <w:r>
        <w:rPr>
          <w:sz w:val="20"/>
          <w:szCs w:val="20"/>
        </w:rPr>
        <w:t xml:space="preserve">cambiar el género según corresponda. </w:t>
      </w:r>
    </w:p>
  </w:comment>
  <w:comment w:id="20" w:author="Antec: Revista Peruana de Investigación Musical" w:date="2026-09-28T12:28:00Z" w:initials="ARPdIM">
    <w:p w14:paraId="73585D5A" w14:textId="77777777" w:rsidR="007B080C" w:rsidRDefault="007B080C" w:rsidP="007B080C">
      <w:r>
        <w:rPr>
          <w:rStyle w:val="Refdecomentario"/>
        </w:rPr>
        <w:annotationRef/>
      </w:r>
      <w:r>
        <w:rPr>
          <w:sz w:val="20"/>
          <w:szCs w:val="20"/>
        </w:rPr>
        <w:t xml:space="preserve">Todas las referencias deben tener sangría </w:t>
      </w:r>
    </w:p>
  </w:comment>
  <w:comment w:id="21" w:author="Antec: Revista Peruana de Investigación Musical" w:date="2026-09-28T12:29:00Z" w:initials="ARPdIM">
    <w:p w14:paraId="210D9071" w14:textId="77777777" w:rsidR="007B080C" w:rsidRDefault="007B080C" w:rsidP="007B080C">
      <w:r>
        <w:rPr>
          <w:rStyle w:val="Refdecomentario"/>
        </w:rPr>
        <w:annotationRef/>
      </w:r>
      <w:r>
        <w:rPr>
          <w:sz w:val="20"/>
          <w:szCs w:val="20"/>
        </w:rPr>
        <w:t xml:space="preserve">Todas las referencias debe ser citadas en APA 7ma edición </w:t>
      </w:r>
    </w:p>
  </w:comment>
  <w:comment w:id="22" w:author="Antec: Revista Peruana de Investigación Musical" w:date="2026-09-28T12:30:00Z" w:initials="ARPdIM">
    <w:p w14:paraId="3267B1C8" w14:textId="77777777" w:rsidR="007B080C" w:rsidRDefault="007B080C" w:rsidP="007B080C">
      <w:r>
        <w:rPr>
          <w:rStyle w:val="Refdecomentario"/>
        </w:rPr>
        <w:annotationRef/>
      </w:r>
      <w:r>
        <w:rPr>
          <w:sz w:val="20"/>
          <w:szCs w:val="20"/>
        </w:rPr>
        <w:t xml:space="preserve">Citar en APA 7ma edición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76AF5929" w15:done="0"/>
  <w15:commentEx w15:paraId="49875A13" w15:done="0"/>
  <w15:commentEx w15:paraId="6D85EECB" w15:done="0"/>
  <w15:commentEx w15:paraId="2A2B195B" w15:done="0"/>
  <w15:commentEx w15:paraId="75DDBD32" w15:done="0"/>
  <w15:commentEx w15:paraId="1A344B10" w15:done="0"/>
  <w15:commentEx w15:paraId="789E8AE4" w15:done="0"/>
  <w15:commentEx w15:paraId="7FA6515E" w15:done="0"/>
  <w15:commentEx w15:paraId="2DF70A64" w15:done="0"/>
  <w15:commentEx w15:paraId="7AC540A3" w15:done="0"/>
  <w15:commentEx w15:paraId="3C3C9242" w15:done="0"/>
  <w15:commentEx w15:paraId="47E72ACE" w15:done="0"/>
  <w15:commentEx w15:paraId="015E3120" w15:done="0"/>
  <w15:commentEx w15:paraId="3BCE29F9" w15:done="0"/>
  <w15:commentEx w15:paraId="6ED8754A" w15:done="0"/>
  <w15:commentEx w15:paraId="6B7001EA" w15:done="0"/>
  <w15:commentEx w15:paraId="1433F26E" w15:done="0"/>
  <w15:commentEx w15:paraId="782CA4FC" w15:done="0"/>
  <w15:commentEx w15:paraId="5A3EA2F9" w15:done="0"/>
  <w15:commentEx w15:paraId="4B47E1AD" w15:done="0"/>
  <w15:commentEx w15:paraId="73585D5A" w15:done="0"/>
  <w15:commentEx w15:paraId="210D9071" w15:paraIdParent="73585D5A" w15:done="0"/>
  <w15:commentEx w15:paraId="3267B1C8" w15:paraIdParent="73585D5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32056993" w16cex:dateUtc="2026-09-28T16:31:00Z"/>
  <w16cex:commentExtensible w16cex:durableId="2FF2A504" w16cex:dateUtc="2026-09-28T16:32:00Z"/>
  <w16cex:commentExtensible w16cex:durableId="3B7164B4" w16cex:dateUtc="2026-09-28T16:34:00Z"/>
  <w16cex:commentExtensible w16cex:durableId="069DAA5A" w16cex:dateUtc="2026-09-28T16:35:00Z"/>
  <w16cex:commentExtensible w16cex:durableId="515A6F5B" w16cex:dateUtc="2026-09-28T16:36:00Z"/>
  <w16cex:commentExtensible w16cex:durableId="19EE7690" w16cex:dateUtc="2026-09-28T16:36:00Z"/>
  <w16cex:commentExtensible w16cex:durableId="6C6BCE6D" w16cex:dateUtc="2026-09-28T16:49:00Z"/>
  <w16cex:commentExtensible w16cex:durableId="1013133A" w16cex:dateUtc="2026-09-28T16:50:00Z"/>
  <w16cex:commentExtensible w16cex:durableId="5B9BBA48" w16cex:dateUtc="2026-09-28T17:15:00Z"/>
  <w16cex:commentExtensible w16cex:durableId="57773573" w16cex:dateUtc="2026-09-28T16:52:00Z"/>
  <w16cex:commentExtensible w16cex:durableId="3F27461A" w16cex:dateUtc="2026-09-28T17:16:00Z"/>
  <w16cex:commentExtensible w16cex:durableId="4AD15B15" w16cex:dateUtc="2026-09-28T16:53:00Z"/>
  <w16cex:commentExtensible w16cex:durableId="6D32A24A" w16cex:dateUtc="2026-09-28T17:17:00Z"/>
  <w16cex:commentExtensible w16cex:durableId="49FF2EBC" w16cex:dateUtc="2026-09-28T16:54:00Z"/>
  <w16cex:commentExtensible w16cex:durableId="7A83A08F" w16cex:dateUtc="2026-09-28T17:19:00Z"/>
  <w16cex:commentExtensible w16cex:durableId="59A7B5C8" w16cex:dateUtc="2026-09-28T17:20:00Z"/>
  <w16cex:commentExtensible w16cex:durableId="6D01B6BB" w16cex:dateUtc="2026-09-28T17:31:00Z"/>
  <w16cex:commentExtensible w16cex:durableId="7B142E36" w16cex:dateUtc="2026-09-28T17:34:00Z"/>
  <w16cex:commentExtensible w16cex:durableId="743C0828" w16cex:dateUtc="2026-09-28T17:35:00Z"/>
  <w16cex:commentExtensible w16cex:durableId="649B0E69" w16cex:dateUtc="2026-09-28T17:28:00Z"/>
  <w16cex:commentExtensible w16cex:durableId="17E29C95" w16cex:dateUtc="2026-09-28T17:29:00Z"/>
  <w16cex:commentExtensible w16cex:durableId="2CF79E70" w16cex:dateUtc="2026-09-28T17: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76AF5929" w16cid:durableId="32056993"/>
  <w16cid:commentId w16cid:paraId="49875A13" w16cid:durableId="2FF2A504"/>
  <w16cid:commentId w16cid:paraId="6D85EECB" w16cid:durableId="3B7164B4"/>
  <w16cid:commentId w16cid:paraId="2A2B195B" w16cid:durableId="069DAA5A"/>
  <w16cid:commentId w16cid:paraId="75DDBD32" w16cid:durableId="515A6F5B"/>
  <w16cid:commentId w16cid:paraId="1A344B10" w16cid:durableId="19EE7690"/>
  <w16cid:commentId w16cid:paraId="789E8AE4" w16cid:durableId="6C6BCE6D"/>
  <w16cid:commentId w16cid:paraId="7FA6515E" w16cid:durableId="1013133A"/>
  <w16cid:commentId w16cid:paraId="2DF70A64" w16cid:durableId="5B9BBA48"/>
  <w16cid:commentId w16cid:paraId="7AC540A3" w16cid:durableId="57773573"/>
  <w16cid:commentId w16cid:paraId="3C3C9242" w16cid:durableId="3F27461A"/>
  <w16cid:commentId w16cid:paraId="47E72ACE" w16cid:durableId="4AD15B15"/>
  <w16cid:commentId w16cid:paraId="015E3120" w16cid:durableId="6D32A24A"/>
  <w16cid:commentId w16cid:paraId="3BCE29F9" w16cid:durableId="49FF2EBC"/>
  <w16cid:commentId w16cid:paraId="6ED8754A" w16cid:durableId="7A83A08F"/>
  <w16cid:commentId w16cid:paraId="6B7001EA" w16cid:durableId="59A7B5C8"/>
  <w16cid:commentId w16cid:paraId="1433F26E" w16cid:durableId="3C3239C4"/>
  <w16cid:commentId w16cid:paraId="782CA4FC" w16cid:durableId="6D01B6BB"/>
  <w16cid:commentId w16cid:paraId="5A3EA2F9" w16cid:durableId="7B142E36"/>
  <w16cid:commentId w16cid:paraId="4B47E1AD" w16cid:durableId="743C0828"/>
  <w16cid:commentId w16cid:paraId="73585D5A" w16cid:durableId="649B0E69"/>
  <w16cid:commentId w16cid:paraId="210D9071" w16cid:durableId="17E29C95"/>
  <w16cid:commentId w16cid:paraId="3267B1C8" w16cid:durableId="2CF79E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3CD7AF" w14:textId="77777777" w:rsidR="008035FC" w:rsidRDefault="008035FC">
      <w:r>
        <w:separator/>
      </w:r>
    </w:p>
  </w:endnote>
  <w:endnote w:type="continuationSeparator" w:id="0">
    <w:p w14:paraId="500177D1" w14:textId="77777777" w:rsidR="008035FC" w:rsidRDefault="00803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0270309B-DF43-CE41-A897-42CB2C70EB51}"/>
  </w:font>
  <w:font w:name="Courier New">
    <w:panose1 w:val="02070309020205020404"/>
    <w:charset w:val="00"/>
    <w:family w:val="modern"/>
    <w:pitch w:val="fixed"/>
    <w:sig w:usb0="E0002AFF" w:usb1="C0007843" w:usb2="00000009" w:usb3="00000000" w:csb0="000001FF" w:csb1="00000000"/>
    <w:embedRegular r:id="rId2" w:fontKey="{A266ABE4-6A03-304C-A886-4570D7913F94}"/>
  </w:font>
  <w:font w:name="Times New Roman">
    <w:panose1 w:val="02020603050405020304"/>
    <w:charset w:val="00"/>
    <w:family w:val="roman"/>
    <w:pitch w:val="variable"/>
    <w:sig w:usb0="E0002EFF" w:usb1="C000785B" w:usb2="00000009" w:usb3="00000000" w:csb0="000001FF" w:csb1="00000000"/>
    <w:embedRegular r:id="rId3" w:fontKey="{C83D4158-5661-2341-B476-0931B4209233}"/>
    <w:embedBold r:id="rId4" w:fontKey="{6C913477-0E74-A74C-A5F2-27675F5E83F3}"/>
    <w:embedItalic r:id="rId5" w:fontKey="{18148E90-5D95-2D4C-98A9-27247814D5B1}"/>
    <w:embedBoldItalic r:id="rId6" w:fontKey="{25921ED8-4D58-0841-BC73-468ED07388B1}"/>
  </w:font>
  <w:font w:name="Aptos">
    <w:panose1 w:val="020B0004020202020204"/>
    <w:charset w:val="00"/>
    <w:family w:val="swiss"/>
    <w:pitch w:val="variable"/>
    <w:sig w:usb0="20000287" w:usb1="00000003" w:usb2="00000000" w:usb3="00000000" w:csb0="0000019F" w:csb1="00000000"/>
    <w:embedRegular r:id="rId7" w:fontKey="{E1F3CCF2-3E9B-0F4C-87EA-25768C95C759}"/>
    <w:embedBold r:id="rId8" w:fontKey="{666C43A1-5327-0A4F-AD87-D713EBE9F5C8}"/>
    <w:embedItalic r:id="rId9" w:fontKey="{FF66320F-CB8B-EB49-A60B-976E73A433BD}"/>
  </w:font>
  <w:font w:name="Play">
    <w:charset w:val="00"/>
    <w:family w:val="auto"/>
    <w:pitch w:val="default"/>
    <w:embedRegular r:id="rId10" w:fontKey="{BB976E00-7367-C342-9C9C-A44B734BE2A9}"/>
  </w:font>
  <w:font w:name="Arial">
    <w:panose1 w:val="020B0604020202020204"/>
    <w:charset w:val="00"/>
    <w:family w:val="swiss"/>
    <w:pitch w:val="variable"/>
    <w:sig w:usb0="E0002AFF" w:usb1="C0007843" w:usb2="00000009" w:usb3="00000000" w:csb0="000001FF" w:csb1="00000000"/>
    <w:embedRegular r:id="rId11" w:fontKey="{D0798E76-9D51-C047-9B40-8B45E4B24AAD}"/>
  </w:font>
  <w:font w:name="Noto Sans Symbols ExtraLight">
    <w:charset w:val="00"/>
    <w:family w:val="auto"/>
    <w:pitch w:val="default"/>
    <w:embedRegular r:id="rId12" w:fontKey="{7EBE6B6A-78D5-8E4D-826C-C421A9CEF969}"/>
    <w:embedItalic r:id="rId13" w:fontKey="{2BBD74DB-71B5-8D4A-A197-97021FCCC8A5}"/>
  </w:font>
  <w:font w:name="Calibri">
    <w:panose1 w:val="020F0502020204030204"/>
    <w:charset w:val="00"/>
    <w:family w:val="swiss"/>
    <w:pitch w:val="variable"/>
    <w:sig w:usb0="E0002AFF" w:usb1="C000247B" w:usb2="00000009" w:usb3="00000000" w:csb0="000001FF" w:csb1="00000000"/>
    <w:embedRegular r:id="rId14" w:fontKey="{F4796E19-F908-DE46-B7CB-B6987EF81620}"/>
  </w:font>
  <w:font w:name="Cambria">
    <w:panose1 w:val="02040503050406030204"/>
    <w:charset w:val="00"/>
    <w:family w:val="roman"/>
    <w:pitch w:val="variable"/>
    <w:sig w:usb0="E00002FF" w:usb1="400004FF" w:usb2="00000000" w:usb3="00000000" w:csb0="0000019F" w:csb1="00000000"/>
    <w:embedRegular r:id="rId15" w:fontKey="{1BCA0080-F338-6A46-8FFD-E403511B9B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068C1D" w14:textId="77777777" w:rsidR="002360C3" w:rsidRDefault="008035FC">
    <w:pPr>
      <w:spacing w:line="276" w:lineRule="auto"/>
      <w:jc w:val="both"/>
      <w:rPr>
        <w:rFonts w:ascii="Times New Roman" w:eastAsia="Times New Roman" w:hAnsi="Times New Roman" w:cs="Times New Roman"/>
        <w:sz w:val="20"/>
        <w:szCs w:val="20"/>
      </w:rPr>
    </w:pPr>
    <w:r>
      <w:rPr>
        <w:noProof/>
      </w:rPr>
    </w:r>
    <w:r>
      <w:pict w14:anchorId="3DDAE4B2">
        <v:rect id="Horizontal Line 1" o:spid="_x0000_s1025" style="width:441.9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HzCFxncAAAACAEAAA8AAAAAAAAAAAAAAAAAswQAAGRycy9kb3ducmV2Lnht&#13;&#10;bFBLBQYAAAAABAAEAPMAAAC8BQAAAAA=&#13;&#10;" filled="f">
          <o:lock v:ext="edit" rotation="t" aspectratio="t" verticies="t" text="t" shapetype="t"/>
          <w10:anchorlock/>
        </v:rect>
      </w:pict>
    </w:r>
  </w:p>
  <w:p w14:paraId="0B3A3291" w14:textId="77777777" w:rsidR="002360C3" w:rsidRPr="00F24E28" w:rsidRDefault="00000000">
    <w:pPr>
      <w:spacing w:line="276" w:lineRule="auto"/>
      <w:jc w:val="both"/>
      <w:rPr>
        <w:rFonts w:ascii="Times New Roman" w:eastAsia="Times New Roman" w:hAnsi="Times New Roman" w:cs="Times New Roman"/>
        <w:color w:val="000000" w:themeColor="text1"/>
        <w:sz w:val="20"/>
        <w:szCs w:val="20"/>
        <w:u w:val="single"/>
      </w:rPr>
    </w:pPr>
    <w:r>
      <w:rPr>
        <w:rFonts w:ascii="Times New Roman" w:eastAsia="Times New Roman" w:hAnsi="Times New Roman" w:cs="Times New Roman"/>
        <w:sz w:val="20"/>
        <w:szCs w:val="20"/>
      </w:rPr>
      <w:t xml:space="preserve">Como citar: Espitia, H. (2026). </w:t>
    </w:r>
    <w:r w:rsidRPr="00F24E28">
      <w:rPr>
        <w:rFonts w:ascii="Times New Roman" w:eastAsia="Times New Roman" w:hAnsi="Times New Roman" w:cs="Times New Roman"/>
        <w:i/>
        <w:iCs/>
        <w:color w:val="FD4BDF"/>
        <w:sz w:val="20"/>
        <w:szCs w:val="20"/>
      </w:rPr>
      <w:t>El transcurso de un día soleado en cinco piezas modales</w:t>
    </w:r>
    <w:r w:rsidRPr="00F24E28">
      <w:rPr>
        <w:rFonts w:ascii="Times New Roman" w:eastAsia="Times New Roman" w:hAnsi="Times New Roman" w:cs="Times New Roman"/>
        <w:color w:val="FD4BDF"/>
        <w:sz w:val="20"/>
        <w:szCs w:val="20"/>
      </w:rPr>
      <w:t>: una exploración compositiva de brillo y oscuridad en el sistema modal diatónico</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ANTEC: Revista Peruana de Investigación Musical</w:t>
    </w:r>
    <w:r w:rsidRPr="006D4F2F">
      <w:rPr>
        <w:rFonts w:ascii="Times New Roman" w:eastAsia="Times New Roman" w:hAnsi="Times New Roman" w:cs="Times New Roman"/>
        <w:i/>
        <w:iCs/>
        <w:color w:val="FD4BDF"/>
        <w:sz w:val="20"/>
        <w:szCs w:val="20"/>
      </w:rPr>
      <w:t>, 10</w:t>
    </w:r>
    <w:r w:rsidRPr="006D4F2F">
      <w:rPr>
        <w:rFonts w:ascii="Times New Roman" w:eastAsia="Times New Roman" w:hAnsi="Times New Roman" w:cs="Times New Roman"/>
        <w:color w:val="FD4BDF"/>
        <w:sz w:val="20"/>
        <w:szCs w:val="20"/>
      </w:rPr>
      <w:t>(2)</w:t>
    </w:r>
    <w:r>
      <w:rPr>
        <w:rFonts w:ascii="Times New Roman" w:eastAsia="Times New Roman" w:hAnsi="Times New Roman" w:cs="Times New Roman"/>
        <w:sz w:val="20"/>
        <w:szCs w:val="20"/>
      </w:rPr>
      <w:t>,</w:t>
    </w:r>
    <w:r w:rsidRPr="00F24E28">
      <w:rPr>
        <w:rFonts w:ascii="Times New Roman" w:eastAsia="Times New Roman" w:hAnsi="Times New Roman" w:cs="Times New Roman"/>
        <w:color w:val="000000" w:themeColor="text1"/>
        <w:sz w:val="20"/>
        <w:szCs w:val="20"/>
      </w:rPr>
      <w:t xml:space="preserve"> xx</w:t>
    </w:r>
    <w:r w:rsidRPr="00F24E28">
      <w:rPr>
        <w:rFonts w:ascii="Times New Roman" w:eastAsia="Times New Roman" w:hAnsi="Times New Roman" w:cs="Times New Roman"/>
        <w:i/>
        <w:iCs/>
        <w:color w:val="000000" w:themeColor="text1"/>
        <w:sz w:val="20"/>
        <w:szCs w:val="20"/>
      </w:rPr>
      <w:t>–</w:t>
    </w:r>
    <w:r w:rsidRPr="00F24E28">
      <w:rPr>
        <w:rFonts w:ascii="Times New Roman" w:eastAsia="Times New Roman" w:hAnsi="Times New Roman" w:cs="Times New Roman"/>
        <w:color w:val="000000" w:themeColor="text1"/>
        <w:sz w:val="20"/>
        <w:szCs w:val="20"/>
      </w:rPr>
      <w:t xml:space="preserve">xx. </w:t>
    </w:r>
    <w:hyperlink r:id="rId1">
      <w:r w:rsidRPr="00F24E28">
        <w:rPr>
          <w:rFonts w:ascii="Times New Roman" w:eastAsia="Times New Roman" w:hAnsi="Times New Roman" w:cs="Times New Roman"/>
          <w:color w:val="000000" w:themeColor="text1"/>
          <w:sz w:val="20"/>
          <w:szCs w:val="20"/>
          <w:u w:val="single"/>
        </w:rPr>
        <w:t>h</w:t>
      </w:r>
    </w:hyperlink>
    <w:hyperlink r:id="rId2">
      <w:r w:rsidRPr="00F24E28">
        <w:rPr>
          <w:rFonts w:ascii="Times New Roman" w:eastAsia="Times New Roman" w:hAnsi="Times New Roman" w:cs="Times New Roman"/>
          <w:color w:val="000000" w:themeColor="text1"/>
          <w:sz w:val="20"/>
          <w:szCs w:val="20"/>
          <w:u w:val="single"/>
        </w:rPr>
        <w:t>ttps://doi.org/10.62230/antec.v10i2.322</w:t>
      </w:r>
    </w:hyperlink>
  </w:p>
  <w:p w14:paraId="52B2AC15" w14:textId="77777777" w:rsidR="002360C3" w:rsidRPr="00F24E28" w:rsidRDefault="002360C3">
    <w:pPr>
      <w:spacing w:line="276" w:lineRule="auto"/>
      <w:jc w:val="both"/>
      <w:rPr>
        <w:rFonts w:ascii="Times New Roman" w:eastAsia="Times New Roman" w:hAnsi="Times New Roman" w:cs="Times New Roman"/>
        <w:color w:val="000000" w:themeColor="text1"/>
        <w:sz w:val="20"/>
        <w:szCs w:val="20"/>
      </w:rPr>
    </w:pPr>
  </w:p>
  <w:p w14:paraId="2B807F71" w14:textId="77777777" w:rsidR="002360C3" w:rsidRPr="00F24E28" w:rsidRDefault="00000000">
    <w:pPr>
      <w:spacing w:line="276" w:lineRule="auto"/>
      <w:jc w:val="both"/>
      <w:rPr>
        <w:rFonts w:ascii="Times New Roman" w:eastAsia="Times New Roman" w:hAnsi="Times New Roman" w:cs="Times New Roman"/>
        <w:color w:val="000000" w:themeColor="text1"/>
        <w:sz w:val="20"/>
        <w:szCs w:val="20"/>
        <w:u w:val="single"/>
      </w:rPr>
    </w:pPr>
    <w:r w:rsidRPr="00F24E28">
      <w:rPr>
        <w:rFonts w:ascii="Times New Roman" w:eastAsia="Times New Roman" w:hAnsi="Times New Roman" w:cs="Times New Roman"/>
        <w:color w:val="000000" w:themeColor="text1"/>
        <w:sz w:val="20"/>
        <w:szCs w:val="20"/>
      </w:rPr>
      <w:t xml:space="preserve">Link para este artículo: </w:t>
    </w:r>
    <w:hyperlink r:id="rId3">
      <w:r w:rsidRPr="00F24E28">
        <w:rPr>
          <w:rFonts w:ascii="Times New Roman" w:eastAsia="Times New Roman" w:hAnsi="Times New Roman" w:cs="Times New Roman"/>
          <w:color w:val="000000" w:themeColor="text1"/>
          <w:sz w:val="20"/>
          <w:szCs w:val="20"/>
          <w:u w:val="single"/>
        </w:rPr>
        <w:t>https://doi.org/10.62230/antec.v10i2.322</w:t>
      </w:r>
    </w:hyperlink>
  </w:p>
  <w:p w14:paraId="7BA5D568" w14:textId="77777777" w:rsidR="002360C3" w:rsidRDefault="00000000">
    <w:pPr>
      <w:spacing w:line="276" w:lineRule="auto"/>
      <w:jc w:val="both"/>
      <w:rPr>
        <w:rFonts w:ascii="Times New Roman" w:eastAsia="Times New Roman" w:hAnsi="Times New Roman" w:cs="Times New Roman"/>
        <w:sz w:val="20"/>
        <w:szCs w:val="20"/>
      </w:rPr>
    </w:pPr>
    <w:r>
      <w:rPr>
        <w:noProof/>
      </w:rPr>
      <w:drawing>
        <wp:anchor distT="114300" distB="114300" distL="114300" distR="114300" simplePos="0" relativeHeight="251658240" behindDoc="0" locked="0" layoutInCell="1" hidden="0" allowOverlap="1" wp14:anchorId="591B4C1F" wp14:editId="074430AF">
          <wp:simplePos x="0" y="0"/>
          <wp:positionH relativeFrom="column">
            <wp:posOffset>-95249</wp:posOffset>
          </wp:positionH>
          <wp:positionV relativeFrom="paragraph">
            <wp:posOffset>190500</wp:posOffset>
          </wp:positionV>
          <wp:extent cx="804863" cy="313432"/>
          <wp:effectExtent l="0" t="0" r="0" b="0"/>
          <wp:wrapSquare wrapText="bothSides" distT="114300" distB="114300" distL="114300" distR="114300"/>
          <wp:docPr id="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
                  <a:srcRect/>
                  <a:stretch>
                    <a:fillRect/>
                  </a:stretch>
                </pic:blipFill>
                <pic:spPr>
                  <a:xfrm>
                    <a:off x="0" y="0"/>
                    <a:ext cx="804863" cy="313432"/>
                  </a:xfrm>
                  <a:prstGeom prst="rect">
                    <a:avLst/>
                  </a:prstGeom>
                  <a:ln/>
                </pic:spPr>
              </pic:pic>
            </a:graphicData>
          </a:graphic>
        </wp:anchor>
      </w:drawing>
    </w:r>
  </w:p>
  <w:p w14:paraId="23F9024D" w14:textId="77777777" w:rsidR="002360C3" w:rsidRDefault="002360C3">
    <w:pPr>
      <w:spacing w:line="276" w:lineRule="auto"/>
      <w:jc w:val="both"/>
      <w:rPr>
        <w:rFonts w:ascii="Times New Roman" w:eastAsia="Times New Roman" w:hAnsi="Times New Roman" w:cs="Times New Roman"/>
        <w:sz w:val="20"/>
        <w:szCs w:val="20"/>
      </w:rPr>
    </w:pPr>
  </w:p>
  <w:p w14:paraId="22D9FFB1" w14:textId="77777777" w:rsidR="002360C3" w:rsidRDefault="002360C3">
    <w:pPr>
      <w:spacing w:line="276" w:lineRule="auto"/>
      <w:jc w:val="both"/>
      <w:rPr>
        <w:rFonts w:ascii="Times New Roman" w:eastAsia="Times New Roman" w:hAnsi="Times New Roman" w:cs="Times New Roman"/>
        <w:color w:val="9900F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CC8FDD" w14:textId="77777777" w:rsidR="008035FC" w:rsidRDefault="008035FC">
      <w:r>
        <w:separator/>
      </w:r>
    </w:p>
  </w:footnote>
  <w:footnote w:type="continuationSeparator" w:id="0">
    <w:p w14:paraId="3138588E" w14:textId="77777777" w:rsidR="008035FC" w:rsidRDefault="008035FC">
      <w:r>
        <w:continuationSeparator/>
      </w:r>
    </w:p>
  </w:footnote>
  <w:footnote w:id="1">
    <w:p w14:paraId="5E0C60DF" w14:textId="77777777" w:rsidR="002360C3" w:rsidRDefault="00000000">
      <w:pPr>
        <w:pBdr>
          <w:top w:val="nil"/>
          <w:left w:val="nil"/>
          <w:bottom w:val="nil"/>
          <w:right w:val="nil"/>
          <w:between w:val="nil"/>
        </w:pBdr>
        <w:rPr>
          <w:rFonts w:ascii="Times New Roman" w:eastAsia="Times New Roman" w:hAnsi="Times New Roman" w:cs="Times New Roman"/>
          <w:color w:val="1155CC"/>
          <w:sz w:val="20"/>
          <w:szCs w:val="20"/>
        </w:rPr>
      </w:pPr>
      <w:r>
        <w:rPr>
          <w:vertAlign w:val="superscript"/>
        </w:rPr>
        <w:footnoteRef/>
      </w:r>
      <w:r>
        <w:rPr>
          <w:rFonts w:ascii="Times New Roman" w:eastAsia="Times New Roman" w:hAnsi="Times New Roman" w:cs="Times New Roman"/>
          <w:color w:val="000000"/>
          <w:sz w:val="20"/>
          <w:szCs w:val="20"/>
        </w:rPr>
        <w:t xml:space="preserve"> La música y el documento de la investigación están disponibles en el siguiente enlace: </w:t>
      </w:r>
      <w:hyperlink r:id="rId1">
        <w:r>
          <w:rPr>
            <w:rFonts w:ascii="Times New Roman" w:eastAsia="Times New Roman" w:hAnsi="Times New Roman" w:cs="Times New Roman"/>
            <w:color w:val="1155CC"/>
            <w:sz w:val="20"/>
            <w:szCs w:val="20"/>
            <w:u w:val="single"/>
          </w:rPr>
          <w:t>https://www.hugoespitia.com/música/investigación-en-música/el-transcurso-de-un-día-soleado-en-cinco-piezas-modales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14F651" w14:textId="77777777" w:rsidR="002360C3" w:rsidRDefault="00000000">
    <w:pPr>
      <w:rPr>
        <w:rFonts w:ascii="Calibri" w:eastAsia="Calibri" w:hAnsi="Calibri" w:cs="Calibri"/>
        <w:sz w:val="22"/>
        <w:szCs w:val="22"/>
      </w:rPr>
    </w:pPr>
    <w:r>
      <w:rPr>
        <w:rFonts w:ascii="Noto Sans Symbols ExtraLight" w:eastAsia="Noto Sans Symbols ExtraLight" w:hAnsi="Noto Sans Symbols ExtraLight" w:cs="Noto Sans Symbols ExtraLight"/>
        <w:i/>
        <w:iCs/>
        <w:sz w:val="16"/>
        <w:szCs w:val="16"/>
      </w:rPr>
      <w:t>ANTEC: Revista Peruana de Investigación Musical ,</w:t>
    </w:r>
    <w:r>
      <w:rPr>
        <w:rFonts w:ascii="Noto Sans Symbols ExtraLight" w:eastAsia="Noto Sans Symbols ExtraLight" w:hAnsi="Noto Sans Symbols ExtraLight" w:cs="Noto Sans Symbols ExtraLight"/>
        <w:sz w:val="16"/>
        <w:szCs w:val="16"/>
      </w:rPr>
      <w:t xml:space="preserve"> </w:t>
    </w:r>
    <w:r w:rsidRPr="00F24E28">
      <w:rPr>
        <w:rFonts w:ascii="Noto Sans Symbols ExtraLight" w:eastAsia="Noto Sans Symbols ExtraLight" w:hAnsi="Noto Sans Symbols ExtraLight" w:cs="Noto Sans Symbols ExtraLight"/>
        <w:color w:val="FD4BDF"/>
        <w:sz w:val="16"/>
        <w:szCs w:val="16"/>
      </w:rPr>
      <w:t>Vol. 10, N° 2, julio</w:t>
    </w:r>
    <w:r w:rsidRPr="00F24E28">
      <w:rPr>
        <w:rFonts w:ascii="Noto Sans Symbols ExtraLight" w:eastAsia="Noto Sans Symbols ExtraLight" w:hAnsi="Noto Sans Symbols ExtraLight" w:cs="Noto Sans Symbols ExtraLight"/>
        <w:i/>
        <w:iCs/>
        <w:color w:val="FD4BDF"/>
        <w:sz w:val="20"/>
        <w:szCs w:val="20"/>
      </w:rPr>
      <w:t>–</w:t>
    </w:r>
    <w:r w:rsidRPr="00F24E28">
      <w:rPr>
        <w:rFonts w:ascii="Noto Sans Symbols ExtraLight" w:eastAsia="Noto Sans Symbols ExtraLight" w:hAnsi="Noto Sans Symbols ExtraLight" w:cs="Noto Sans Symbols ExtraLight"/>
        <w:color w:val="FD4BDF"/>
        <w:sz w:val="16"/>
        <w:szCs w:val="16"/>
      </w:rPr>
      <w:t>diciembre, 2026</w:t>
    </w:r>
    <w:r>
      <w:rPr>
        <w:rFonts w:ascii="Noto Sans Symbols ExtraLight" w:eastAsia="Noto Sans Symbols ExtraLight" w:hAnsi="Noto Sans Symbols ExtraLight" w:cs="Noto Sans Symbols ExtraLight"/>
        <w:sz w:val="16"/>
        <w:szCs w:val="16"/>
      </w:rPr>
      <w:t>.</w:t>
    </w:r>
    <w:r>
      <w:rPr>
        <w:rFonts w:ascii="Noto Sans Symbols ExtraLight" w:eastAsia="Noto Sans Symbols ExtraLight" w:hAnsi="Noto Sans Symbols ExtraLight" w:cs="Noto Sans Symbols ExtraLight"/>
        <w:i/>
        <w:iCs/>
        <w:sz w:val="16"/>
        <w:szCs w:val="16"/>
      </w:rPr>
      <w:t xml:space="preserve"> </w:t>
    </w:r>
    <w:r>
      <w:rPr>
        <w:rFonts w:ascii="Noto Sans Symbols ExtraLight" w:eastAsia="Noto Sans Symbols ExtraLight" w:hAnsi="Noto Sans Symbols ExtraLight" w:cs="Noto Sans Symbols ExtraLight"/>
        <w:sz w:val="16"/>
        <w:szCs w:val="16"/>
      </w:rPr>
      <w:t>ISSN: 2521</w:t>
    </w:r>
    <w:r>
      <w:rPr>
        <w:rFonts w:ascii="Noto Sans Symbols ExtraLight" w:eastAsia="Noto Sans Symbols ExtraLight" w:hAnsi="Noto Sans Symbols ExtraLight" w:cs="Noto Sans Symbols ExtraLight"/>
        <w:i/>
        <w:iCs/>
        <w:sz w:val="20"/>
        <w:szCs w:val="20"/>
      </w:rPr>
      <w:t>–</w:t>
    </w:r>
    <w:r>
      <w:rPr>
        <w:rFonts w:ascii="Noto Sans Symbols ExtraLight" w:eastAsia="Noto Sans Symbols ExtraLight" w:hAnsi="Noto Sans Symbols ExtraLight" w:cs="Noto Sans Symbols ExtraLight"/>
        <w:sz w:val="16"/>
        <w:szCs w:val="16"/>
      </w:rPr>
      <w:t>8565/ E-ISSN: 2616</w:t>
    </w:r>
    <w:r>
      <w:rPr>
        <w:rFonts w:ascii="Noto Sans Symbols ExtraLight" w:eastAsia="Noto Sans Symbols ExtraLight" w:hAnsi="Noto Sans Symbols ExtraLight" w:cs="Noto Sans Symbols ExtraLight"/>
        <w:i/>
        <w:iCs/>
        <w:sz w:val="20"/>
        <w:szCs w:val="20"/>
      </w:rPr>
      <w:t>–</w:t>
    </w:r>
    <w:r>
      <w:rPr>
        <w:rFonts w:ascii="Noto Sans Symbols ExtraLight" w:eastAsia="Noto Sans Symbols ExtraLight" w:hAnsi="Noto Sans Symbols ExtraLight" w:cs="Noto Sans Symbols ExtraLight"/>
        <w:sz w:val="16"/>
        <w:szCs w:val="16"/>
      </w:rPr>
      <w:t>681X</w:t>
    </w:r>
  </w:p>
  <w:p w14:paraId="593A6C7F" w14:textId="77777777" w:rsidR="002360C3" w:rsidRDefault="002360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364124"/>
    <w:multiLevelType w:val="multilevel"/>
    <w:tmpl w:val="7A207994"/>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AAF3BA4"/>
    <w:multiLevelType w:val="multilevel"/>
    <w:tmpl w:val="90DA76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EF2324A"/>
    <w:multiLevelType w:val="multilevel"/>
    <w:tmpl w:val="D7E63976"/>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497168B"/>
    <w:multiLevelType w:val="multilevel"/>
    <w:tmpl w:val="281C11B2"/>
    <w:lvl w:ilvl="0">
      <w:start w:val="1"/>
      <w:numFmt w:val="decimal"/>
      <w:lvlText w:val="%1."/>
      <w:lvlJc w:val="left"/>
      <w:pPr>
        <w:ind w:left="720" w:hanging="360"/>
      </w:pPr>
      <w:rPr>
        <w:sz w:val="20"/>
        <w:szCs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5FA3C3E"/>
    <w:multiLevelType w:val="multilevel"/>
    <w:tmpl w:val="D3DC33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956583A"/>
    <w:multiLevelType w:val="multilevel"/>
    <w:tmpl w:val="D32E1EFC"/>
    <w:lvl w:ilvl="0">
      <w:start w:val="1"/>
      <w:numFmt w:val="bullet"/>
      <w:lvlText w:val="●"/>
      <w:lvlJc w:val="left"/>
      <w:pPr>
        <w:ind w:left="720" w:hanging="360"/>
      </w:pPr>
      <w:rPr>
        <w:sz w:val="20"/>
        <w:szCs w:val="20"/>
      </w:rPr>
    </w:lvl>
    <w:lvl w:ilvl="1">
      <w:start w:val="1"/>
      <w:numFmt w:val="bullet"/>
      <w:lvlText w:val="○"/>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6" w15:restartNumberingAfterBreak="0">
    <w:nsid w:val="770D7095"/>
    <w:multiLevelType w:val="multilevel"/>
    <w:tmpl w:val="A4B2EF02"/>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B9A24EF"/>
    <w:multiLevelType w:val="multilevel"/>
    <w:tmpl w:val="22904B28"/>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F3C7FE0"/>
    <w:multiLevelType w:val="multilevel"/>
    <w:tmpl w:val="0722DD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949390420">
    <w:abstractNumId w:val="5"/>
  </w:num>
  <w:num w:numId="2" w16cid:durableId="64577123">
    <w:abstractNumId w:val="0"/>
  </w:num>
  <w:num w:numId="3" w16cid:durableId="1974872016">
    <w:abstractNumId w:val="7"/>
  </w:num>
  <w:num w:numId="4" w16cid:durableId="84543609">
    <w:abstractNumId w:val="3"/>
  </w:num>
  <w:num w:numId="5" w16cid:durableId="1350836646">
    <w:abstractNumId w:val="2"/>
  </w:num>
  <w:num w:numId="6" w16cid:durableId="1356885818">
    <w:abstractNumId w:val="6"/>
  </w:num>
  <w:num w:numId="7" w16cid:durableId="1406149524">
    <w:abstractNumId w:val="8"/>
  </w:num>
  <w:num w:numId="8" w16cid:durableId="826671333">
    <w:abstractNumId w:val="4"/>
  </w:num>
  <w:num w:numId="9" w16cid:durableId="86175005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ntec: Revista Peruana de Investigación Musical">
    <w15:presenceInfo w15:providerId="AD" w15:userId="S::revista.investigacion@unm.edu.pe::817c6aef-ce03-4e45-b01d-8bbc08f63a2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7"/>
  <w:embedTrueTypeFonts/>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0C3"/>
    <w:rsid w:val="002360C3"/>
    <w:rsid w:val="003C3182"/>
    <w:rsid w:val="006D4F2F"/>
    <w:rsid w:val="007B080C"/>
    <w:rsid w:val="008035FC"/>
    <w:rsid w:val="00863F61"/>
    <w:rsid w:val="00A625C9"/>
    <w:rsid w:val="00F24E2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695D3"/>
  <w15:docId w15:val="{1C61E414-9FDB-3442-AE9B-CC679F05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s-CO"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rFonts w:ascii="Play" w:eastAsia="Play" w:hAnsi="Play" w:cs="Play"/>
      <w:sz w:val="56"/>
      <w:szCs w:val="56"/>
    </w:rPr>
  </w:style>
  <w:style w:type="paragraph" w:styleId="Subttulo">
    <w:name w:val="Subtitle"/>
    <w:basedOn w:val="Normal"/>
    <w:next w:val="Normal"/>
    <w:uiPriority w:val="11"/>
    <w:qFormat/>
    <w:pPr>
      <w:spacing w:after="160"/>
    </w:pPr>
    <w:rPr>
      <w:color w:val="595959"/>
      <w:sz w:val="28"/>
      <w:szCs w:val="28"/>
    </w:rPr>
  </w:style>
  <w:style w:type="table" w:customStyle="1" w:styleId="a">
    <w:basedOn w:val="TableNormal"/>
    <w:tblPr>
      <w:tblStyleRowBandSize w:val="1"/>
      <w:tblStyleColBandSize w:val="1"/>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Encabezado">
    <w:name w:val="header"/>
    <w:basedOn w:val="Normal"/>
    <w:link w:val="EncabezadoCar"/>
    <w:uiPriority w:val="99"/>
    <w:unhideWhenUsed/>
    <w:rsid w:val="00F24E28"/>
    <w:pPr>
      <w:tabs>
        <w:tab w:val="center" w:pos="4419"/>
        <w:tab w:val="right" w:pos="8838"/>
      </w:tabs>
    </w:pPr>
  </w:style>
  <w:style w:type="character" w:customStyle="1" w:styleId="EncabezadoCar">
    <w:name w:val="Encabezado Car"/>
    <w:basedOn w:val="Fuentedeprrafopredeter"/>
    <w:link w:val="Encabezado"/>
    <w:uiPriority w:val="99"/>
    <w:rsid w:val="00F24E28"/>
  </w:style>
  <w:style w:type="paragraph" w:styleId="Piedepgina">
    <w:name w:val="footer"/>
    <w:basedOn w:val="Normal"/>
    <w:link w:val="PiedepginaCar"/>
    <w:uiPriority w:val="99"/>
    <w:unhideWhenUsed/>
    <w:rsid w:val="00F24E28"/>
    <w:pPr>
      <w:tabs>
        <w:tab w:val="center" w:pos="4419"/>
        <w:tab w:val="right" w:pos="8838"/>
      </w:tabs>
    </w:pPr>
  </w:style>
  <w:style w:type="character" w:customStyle="1" w:styleId="PiedepginaCar">
    <w:name w:val="Pie de página Car"/>
    <w:basedOn w:val="Fuentedeprrafopredeter"/>
    <w:link w:val="Piedepgina"/>
    <w:uiPriority w:val="99"/>
    <w:rsid w:val="00F24E28"/>
  </w:style>
  <w:style w:type="paragraph" w:styleId="Asuntodelcomentario">
    <w:name w:val="annotation subject"/>
    <w:basedOn w:val="Textocomentario"/>
    <w:next w:val="Textocomentario"/>
    <w:link w:val="AsuntodelcomentarioCar"/>
    <w:uiPriority w:val="99"/>
    <w:semiHidden/>
    <w:unhideWhenUsed/>
    <w:rsid w:val="00F24E28"/>
    <w:rPr>
      <w:b/>
      <w:bCs/>
    </w:rPr>
  </w:style>
  <w:style w:type="character" w:customStyle="1" w:styleId="AsuntodelcomentarioCar">
    <w:name w:val="Asunto del comentario Car"/>
    <w:basedOn w:val="TextocomentarioCar"/>
    <w:link w:val="Asuntodelcomentario"/>
    <w:uiPriority w:val="99"/>
    <w:semiHidden/>
    <w:rsid w:val="00F24E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jpg"/><Relationship Id="rId26" Type="http://schemas.openxmlformats.org/officeDocument/2006/relationships/image" Target="media/image14.jpg"/><Relationship Id="rId39" Type="http://schemas.openxmlformats.org/officeDocument/2006/relationships/hyperlink" Target="https://doi.org/10.1121/10.0002275" TargetMode="External"/><Relationship Id="rId21" Type="http://schemas.openxmlformats.org/officeDocument/2006/relationships/image" Target="media/image9.jpg"/><Relationship Id="rId34" Type="http://schemas.openxmlformats.org/officeDocument/2006/relationships/image" Target="media/image22.jpg"/><Relationship Id="rId42" Type="http://schemas.openxmlformats.org/officeDocument/2006/relationships/image" Target="media/image24.png"/><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hyperlink" Target="https://doi.org/10.1126/science.aax0868" TargetMode="External"/><Relationship Id="rId40" Type="http://schemas.openxmlformats.org/officeDocument/2006/relationships/hyperlink" Target="https://doi.org/10.1037/e525772013-006"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hyperlink" Target="https://doi.org/10.1038/nrn3666" TargetMode="External"/><Relationship Id="rId10" Type="http://schemas.microsoft.com/office/2016/09/relationships/commentsIds" Target="commentsIds.xml"/><Relationship Id="rId19" Type="http://schemas.openxmlformats.org/officeDocument/2006/relationships/image" Target="media/image7.jpg"/><Relationship Id="rId31" Type="http://schemas.openxmlformats.org/officeDocument/2006/relationships/image" Target="media/image19.jpg"/><Relationship Id="rId44"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hyperlink" Target="https://doi.org/10.2307/j.ctvt9k3fk" TargetMode="External"/><Relationship Id="rId43" Type="http://schemas.openxmlformats.org/officeDocument/2006/relationships/hyperlink" Target="https://drive.google.com/drive/folders/1sadhEvsp-aw8I6NtpDKA2qX6BiSoOMNQ" TargetMode="External"/><Relationship Id="rId48" Type="http://schemas.openxmlformats.org/officeDocument/2006/relationships/theme" Target="theme/theme1.xml"/><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hyperlink" Target="mailto:hugoespitia7@gmail.com" TargetMode="Externa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hyperlink" Target="https://doi.org/10.1073/pnas.1212562110" TargetMode="External"/><Relationship Id="rId46" Type="http://schemas.openxmlformats.org/officeDocument/2006/relationships/fontTable" Target="fontTable.xml"/><Relationship Id="rId20" Type="http://schemas.openxmlformats.org/officeDocument/2006/relationships/image" Target="media/image8.jpg"/><Relationship Id="rId41" Type="http://schemas.openxmlformats.org/officeDocument/2006/relationships/image" Target="media/image23.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3" Type="http://schemas.openxmlformats.org/officeDocument/2006/relationships/hyperlink" Target="https://doi.org/10.62230/antec.v10i2.322" TargetMode="External"/><Relationship Id="rId2" Type="http://schemas.openxmlformats.org/officeDocument/2006/relationships/hyperlink" Target="https://doi.org/10.62230/antec.v10i2.322" TargetMode="External"/><Relationship Id="rId1" Type="http://schemas.openxmlformats.org/officeDocument/2006/relationships/hyperlink" Target="https://doi.org/10.62230/antec.v10i2.322" TargetMode="External"/><Relationship Id="rId4" Type="http://schemas.openxmlformats.org/officeDocument/2006/relationships/image" Target="media/image25.png"/></Relationships>
</file>

<file path=word/_rels/footnotes.xml.rels><?xml version="1.0" encoding="UTF-8" standalone="yes"?>
<Relationships xmlns="http://schemas.openxmlformats.org/package/2006/relationships"><Relationship Id="rId1" Type="http://schemas.openxmlformats.org/officeDocument/2006/relationships/hyperlink" Target="https://www.hugoespitia.com/m%C3%BAsica/investigaci%C3%B3n-en-m%C3%BAsica/el-transcurso-de-un-d%C3%ADa-soleado-en-cinco-piezas-mod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D26CB-F468-2D48-9321-50DFA9481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36</Pages>
  <Words>9765</Words>
  <Characters>53710</Characters>
  <Application>Microsoft Office Word</Application>
  <DocSecurity>0</DocSecurity>
  <Lines>447</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Antec: Revista Peruana de Investigación Musical</cp:lastModifiedBy>
  <cp:revision>2</cp:revision>
  <dcterms:created xsi:type="dcterms:W3CDTF">2026-09-28T16:27:00Z</dcterms:created>
  <dcterms:modified xsi:type="dcterms:W3CDTF">2026-09-28T17:37:00Z</dcterms:modified>
</cp:coreProperties>
</file>